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4645A">
      <w:pPr>
        <w:ind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福建省质检院沙盘模型设计及制作需求</w:t>
      </w:r>
    </w:p>
    <w:p w14:paraId="7CC4CC0C">
      <w:r>
        <w:rPr>
          <w:rFonts w:hint="eastAsia"/>
        </w:rPr>
        <w:t xml:space="preserve">      </w:t>
      </w:r>
      <w:r>
        <w:t xml:space="preserve">                          </w:t>
      </w:r>
    </w:p>
    <w:p w14:paraId="6A257391">
      <w:pPr>
        <w:pStyle w:val="18"/>
        <w:numPr>
          <w:ilvl w:val="0"/>
          <w:numId w:val="1"/>
        </w:numPr>
        <w:ind w:firstLineChars="0"/>
      </w:pPr>
      <w:r>
        <w:rPr>
          <w:rFonts w:hint="eastAsia"/>
        </w:rPr>
        <w:t>项目概况</w:t>
      </w:r>
    </w:p>
    <w:p w14:paraId="5BB7A4FE">
      <w:r>
        <w:rPr>
          <w:rFonts w:hint="eastAsia"/>
        </w:rPr>
        <w:t>福建省产品质量检验研究院武夷山基地计划采购制作三套综合规划沙盘模型，以立体化、可视化方式精准展现我院“一院三地”（马尾总部、鼓楼怡山基地、武夷山基地）的战略布局与基本情况。</w:t>
      </w:r>
    </w:p>
    <w:p w14:paraId="7DC0F984">
      <w:r>
        <w:rPr>
          <w:rFonts w:hint="eastAsia"/>
        </w:rPr>
        <w:t>项目模型需按合适比例制作，真实还原三大基地总计约</w:t>
      </w:r>
      <w:r>
        <w:t>50664</w:t>
      </w:r>
      <w:r>
        <w:rPr>
          <w:rFonts w:hint="eastAsia"/>
        </w:rPr>
        <w:t>平方米占地面积与</w:t>
      </w:r>
      <w:r>
        <w:t>81755</w:t>
      </w:r>
      <w:r>
        <w:rPr>
          <w:rFonts w:hint="eastAsia"/>
        </w:rPr>
        <w:t>平方米的建筑景观。模型主体应采用</w:t>
      </w:r>
      <w:r>
        <w:t>ABS</w:t>
      </w:r>
      <w:r>
        <w:rPr>
          <w:rFonts w:hint="eastAsia"/>
        </w:rPr>
        <w:t>、亚克力等高精度材料保证建筑细节，搭配路面、绿植、水系、灯光等塑造完整地形地貌，确保整体效果高端、细节逼真、经久耐用。</w:t>
      </w:r>
    </w:p>
    <w:p w14:paraId="6DBAAB80">
      <w:r>
        <w:rPr>
          <w:rFonts w:hint="eastAsia"/>
        </w:rPr>
        <w:t>项目总预算为人民币壹拾万元整（￥</w:t>
      </w:r>
      <w:r>
        <w:t>10</w:t>
      </w:r>
      <w:r>
        <w:rPr>
          <w:rFonts w:hint="eastAsia"/>
        </w:rPr>
        <w:t>0,000），该费用需涵盖全部设计、材料、制作、运输、安装调试及税费等。要求承制方具备专业资质与丰富的大型沙盘项目经验，最终交付成果应具备高度的展示性与专业性。</w:t>
      </w:r>
    </w:p>
    <w:tbl>
      <w:tblPr>
        <w:tblStyle w:val="5"/>
        <w:tblW w:w="9333" w:type="dxa"/>
        <w:jc w:val="center"/>
        <w:tblLayout w:type="fixed"/>
        <w:tblCellMar>
          <w:top w:w="15" w:type="dxa"/>
          <w:left w:w="15" w:type="dxa"/>
          <w:bottom w:w="15" w:type="dxa"/>
          <w:right w:w="15" w:type="dxa"/>
        </w:tblCellMar>
      </w:tblPr>
      <w:tblGrid>
        <w:gridCol w:w="1129"/>
        <w:gridCol w:w="855"/>
        <w:gridCol w:w="5790"/>
        <w:gridCol w:w="1559"/>
      </w:tblGrid>
      <w:tr w14:paraId="64346E34">
        <w:trPr>
          <w:trHeight w:val="826" w:hRule="atLeast"/>
          <w:jc w:val="center"/>
        </w:trPr>
        <w:tc>
          <w:tcPr>
            <w:tcW w:w="7774" w:type="dxa"/>
            <w:gridSpan w:val="3"/>
            <w:tcBorders>
              <w:top w:val="single" w:color="auto" w:sz="4" w:space="0"/>
              <w:left w:val="single" w:color="auto" w:sz="4" w:space="0"/>
              <w:right w:val="single" w:color="auto" w:sz="4" w:space="0"/>
            </w:tcBorders>
            <w:vAlign w:val="center"/>
          </w:tcPr>
          <w:p w14:paraId="3C66FFD7">
            <w:pPr>
              <w:jc w:val="center"/>
            </w:pPr>
            <w:r>
              <w:rPr>
                <w:rFonts w:hint="eastAsia"/>
              </w:rPr>
              <w:t>技术和服务要求</w:t>
            </w:r>
          </w:p>
        </w:tc>
        <w:tc>
          <w:tcPr>
            <w:tcW w:w="1559" w:type="dxa"/>
            <w:tcBorders>
              <w:top w:val="single" w:color="auto" w:sz="4" w:space="0"/>
              <w:left w:val="single" w:color="auto" w:sz="4" w:space="0"/>
              <w:bottom w:val="single" w:color="auto" w:sz="4" w:space="0"/>
              <w:right w:val="single" w:color="auto" w:sz="4" w:space="0"/>
            </w:tcBorders>
            <w:vAlign w:val="center"/>
          </w:tcPr>
          <w:p w14:paraId="5671BB8A">
            <w:pPr>
              <w:ind w:firstLine="0" w:firstLineChars="0"/>
            </w:pPr>
            <w:r>
              <w:rPr>
                <w:rFonts w:hint="eastAsia"/>
              </w:rPr>
              <w:t>响应情况</w:t>
            </w:r>
          </w:p>
        </w:tc>
      </w:tr>
      <w:tr w14:paraId="28D14158">
        <w:tblPrEx>
          <w:tblCellMar>
            <w:top w:w="15" w:type="dxa"/>
            <w:left w:w="15" w:type="dxa"/>
            <w:bottom w:w="15" w:type="dxa"/>
            <w:right w:w="15" w:type="dxa"/>
          </w:tblCellMar>
        </w:tblPrEx>
        <w:trPr>
          <w:trHeight w:val="2103" w:hRule="atLeast"/>
          <w:jc w:val="center"/>
        </w:trPr>
        <w:tc>
          <w:tcPr>
            <w:tcW w:w="1129" w:type="dxa"/>
            <w:tcBorders>
              <w:top w:val="single" w:color="auto" w:sz="4" w:space="0"/>
              <w:left w:val="single" w:color="auto" w:sz="4" w:space="0"/>
              <w:right w:val="single" w:color="auto" w:sz="4" w:space="0"/>
            </w:tcBorders>
            <w:vAlign w:val="center"/>
          </w:tcPr>
          <w:p w14:paraId="4A74AF42">
            <w:pPr>
              <w:ind w:firstLine="0" w:firstLineChars="0"/>
              <w:rPr>
                <w:sz w:val="24"/>
              </w:rPr>
            </w:pPr>
            <w:r>
              <w:rPr>
                <w:rFonts w:hint="eastAsia"/>
              </w:rPr>
              <w:t>房屋建筑模型</w:t>
            </w:r>
          </w:p>
        </w:tc>
        <w:tc>
          <w:tcPr>
            <w:tcW w:w="855" w:type="dxa"/>
            <w:tcBorders>
              <w:top w:val="single" w:color="auto" w:sz="4" w:space="0"/>
              <w:left w:val="single" w:color="auto" w:sz="4" w:space="0"/>
              <w:bottom w:val="single" w:color="auto" w:sz="4" w:space="0"/>
              <w:right w:val="single" w:color="auto" w:sz="4" w:space="0"/>
            </w:tcBorders>
            <w:vAlign w:val="center"/>
          </w:tcPr>
          <w:p w14:paraId="7974662B">
            <w:pPr>
              <w:ind w:firstLine="0" w:firstLineChars="0"/>
            </w:pPr>
            <w:r>
              <w:rPr>
                <w:rFonts w:hint="eastAsia"/>
              </w:rPr>
              <w:t>主材质</w:t>
            </w:r>
          </w:p>
        </w:tc>
        <w:tc>
          <w:tcPr>
            <w:tcW w:w="5790" w:type="dxa"/>
            <w:tcBorders>
              <w:top w:val="single" w:color="auto" w:sz="4" w:space="0"/>
              <w:left w:val="single" w:color="auto" w:sz="4" w:space="0"/>
              <w:bottom w:val="single" w:color="auto" w:sz="4" w:space="0"/>
              <w:right w:val="single" w:color="auto" w:sz="4" w:space="0"/>
            </w:tcBorders>
            <w:vAlign w:val="center"/>
          </w:tcPr>
          <w:p w14:paraId="01806EBE">
            <w:r>
              <w:rPr>
                <w:rFonts w:hint="eastAsia"/>
              </w:rPr>
              <w:t>选用不同规格、易雕刻、韧性好、可塑性强的优质</w:t>
            </w:r>
            <w:r>
              <w:t>ABS工程塑料板，结合透明度较高的</w:t>
            </w:r>
            <w:r>
              <w:rPr>
                <w:rFonts w:hint="eastAsia"/>
              </w:rPr>
              <w:t>优质亚克力板制作，针对建筑不同的表现形态分别写实制作，真实反映设计构想。</w:t>
            </w:r>
          </w:p>
        </w:tc>
        <w:tc>
          <w:tcPr>
            <w:tcW w:w="1559" w:type="dxa"/>
            <w:tcBorders>
              <w:top w:val="single" w:color="auto" w:sz="4" w:space="0"/>
              <w:left w:val="single" w:color="auto" w:sz="4" w:space="0"/>
              <w:bottom w:val="single" w:color="auto" w:sz="4" w:space="0"/>
              <w:right w:val="single" w:color="auto" w:sz="4" w:space="0"/>
            </w:tcBorders>
          </w:tcPr>
          <w:p w14:paraId="372530E3"/>
        </w:tc>
      </w:tr>
      <w:tr w14:paraId="5AF2A5BF">
        <w:tblPrEx>
          <w:tblCellMar>
            <w:top w:w="15" w:type="dxa"/>
            <w:left w:w="15" w:type="dxa"/>
            <w:bottom w:w="15" w:type="dxa"/>
            <w:right w:w="15" w:type="dxa"/>
          </w:tblCellMar>
        </w:tblPrEx>
        <w:trPr>
          <w:trHeight w:val="3116"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B3463FD">
            <w:pPr>
              <w:ind w:firstLine="0" w:firstLineChars="0"/>
            </w:pPr>
            <w:r>
              <w:rPr>
                <w:rFonts w:hint="eastAsia"/>
              </w:rPr>
              <w:t>场景</w:t>
            </w:r>
          </w:p>
          <w:p w14:paraId="7EC499D7">
            <w:pPr>
              <w:ind w:firstLine="0" w:firstLineChars="0"/>
              <w:rPr>
                <w:sz w:val="24"/>
              </w:rPr>
            </w:pPr>
            <w:r>
              <w:rPr>
                <w:rFonts w:hint="eastAsia"/>
              </w:rPr>
              <w:t>布置</w:t>
            </w:r>
          </w:p>
        </w:tc>
        <w:tc>
          <w:tcPr>
            <w:tcW w:w="855" w:type="dxa"/>
            <w:tcBorders>
              <w:top w:val="single" w:color="auto" w:sz="4" w:space="0"/>
              <w:left w:val="single" w:color="auto" w:sz="4" w:space="0"/>
              <w:bottom w:val="single" w:color="auto" w:sz="4" w:space="0"/>
              <w:right w:val="single" w:color="auto" w:sz="4" w:space="0"/>
            </w:tcBorders>
            <w:vAlign w:val="center"/>
          </w:tcPr>
          <w:p w14:paraId="574EDB3E">
            <w:pPr>
              <w:ind w:firstLine="0" w:firstLineChars="0"/>
            </w:pPr>
            <w:r>
              <w:rPr>
                <w:rFonts w:hint="eastAsia"/>
              </w:rPr>
              <w:t>绿化设计</w:t>
            </w:r>
          </w:p>
        </w:tc>
        <w:tc>
          <w:tcPr>
            <w:tcW w:w="5790" w:type="dxa"/>
            <w:tcBorders>
              <w:top w:val="single" w:color="auto" w:sz="4" w:space="0"/>
              <w:left w:val="single" w:color="auto" w:sz="4" w:space="0"/>
              <w:bottom w:val="single" w:color="auto" w:sz="4" w:space="0"/>
              <w:right w:val="single" w:color="auto" w:sz="4" w:space="0"/>
            </w:tcBorders>
            <w:vAlign w:val="center"/>
          </w:tcPr>
          <w:p w14:paraId="073DC965">
            <w:r>
              <w:rPr>
                <w:rFonts w:hint="eastAsia"/>
              </w:rPr>
              <w:t>树木严格匹配沙盘模型的比例尺，在大统一的基础上展开节奏的变化，通过植物种植的高低错落形成点、线、面的结合，树木体量、形体和色彩有着变化。生活小品</w:t>
            </w:r>
            <w:r>
              <w:t>(如石椅、石凳、假山、雕塑、小亭等)则恰如其当的点缀于花草树木间，营造出一种无限美感的环境空间。</w:t>
            </w:r>
          </w:p>
        </w:tc>
        <w:tc>
          <w:tcPr>
            <w:tcW w:w="1559" w:type="dxa"/>
            <w:tcBorders>
              <w:top w:val="single" w:color="auto" w:sz="4" w:space="0"/>
              <w:left w:val="single" w:color="auto" w:sz="4" w:space="0"/>
              <w:bottom w:val="single" w:color="auto" w:sz="4" w:space="0"/>
              <w:right w:val="single" w:color="auto" w:sz="4" w:space="0"/>
            </w:tcBorders>
          </w:tcPr>
          <w:p w14:paraId="6863E26F"/>
        </w:tc>
      </w:tr>
      <w:tr w14:paraId="77E9F4DB">
        <w:tblPrEx>
          <w:tblCellMar>
            <w:top w:w="15" w:type="dxa"/>
            <w:left w:w="15" w:type="dxa"/>
            <w:bottom w:w="15" w:type="dxa"/>
            <w:right w:w="15" w:type="dxa"/>
          </w:tblCellMar>
        </w:tblPrEx>
        <w:trPr>
          <w:trHeight w:val="1968"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14:paraId="0C074673">
            <w:pPr>
              <w:ind w:firstLine="0" w:firstLineChars="0"/>
            </w:pPr>
            <w:r>
              <w:rPr>
                <w:rFonts w:hint="eastAsia"/>
              </w:rPr>
              <w:t>场景</w:t>
            </w:r>
          </w:p>
          <w:p w14:paraId="29CD8008">
            <w:pPr>
              <w:ind w:firstLine="0" w:firstLineChars="0"/>
            </w:pPr>
            <w:r>
              <w:rPr>
                <w:rFonts w:hint="eastAsia"/>
              </w:rPr>
              <w:t>布置</w:t>
            </w:r>
          </w:p>
        </w:tc>
        <w:tc>
          <w:tcPr>
            <w:tcW w:w="855" w:type="dxa"/>
            <w:tcBorders>
              <w:top w:val="single" w:color="auto" w:sz="4" w:space="0"/>
              <w:left w:val="single" w:color="auto" w:sz="4" w:space="0"/>
              <w:bottom w:val="single" w:color="auto" w:sz="4" w:space="0"/>
              <w:right w:val="single" w:color="auto" w:sz="4" w:space="0"/>
            </w:tcBorders>
            <w:vAlign w:val="center"/>
          </w:tcPr>
          <w:p w14:paraId="4BB57F1C">
            <w:pPr>
              <w:ind w:firstLine="0" w:firstLineChars="0"/>
            </w:pPr>
            <w:r>
              <w:rPr>
                <w:rFonts w:hint="eastAsia"/>
              </w:rPr>
              <w:t>植被选材</w:t>
            </w:r>
          </w:p>
        </w:tc>
        <w:tc>
          <w:tcPr>
            <w:tcW w:w="5790" w:type="dxa"/>
            <w:tcBorders>
              <w:top w:val="single" w:color="auto" w:sz="4" w:space="0"/>
              <w:left w:val="single" w:color="auto" w:sz="4" w:space="0"/>
              <w:bottom w:val="single" w:color="auto" w:sz="4" w:space="0"/>
              <w:right w:val="single" w:color="auto" w:sz="4" w:space="0"/>
            </w:tcBorders>
            <w:vAlign w:val="center"/>
          </w:tcPr>
          <w:p w14:paraId="0CDA2499"/>
          <w:p w14:paraId="27BAC9BD">
            <w:r>
              <w:rPr>
                <w:rFonts w:hint="eastAsia"/>
              </w:rPr>
              <w:t>选用手工生产的多种树型搭配，经多重工艺处理，确保不落叶、不露铁丝，树根无胶痕，树型可根据实际树种编制，造型更逼真，且树种多样化。草地采用绿色草绒和绿色草皮搭配使用。</w:t>
            </w:r>
          </w:p>
          <w:p w14:paraId="43DA2E6D"/>
        </w:tc>
        <w:tc>
          <w:tcPr>
            <w:tcW w:w="1559" w:type="dxa"/>
            <w:tcBorders>
              <w:top w:val="single" w:color="auto" w:sz="4" w:space="0"/>
              <w:left w:val="single" w:color="auto" w:sz="4" w:space="0"/>
              <w:bottom w:val="single" w:color="auto" w:sz="4" w:space="0"/>
              <w:right w:val="single" w:color="auto" w:sz="4" w:space="0"/>
            </w:tcBorders>
          </w:tcPr>
          <w:p w14:paraId="2433F27A"/>
        </w:tc>
      </w:tr>
      <w:tr w14:paraId="7DE65B55">
        <w:tblPrEx>
          <w:tblCellMar>
            <w:top w:w="15" w:type="dxa"/>
            <w:left w:w="15" w:type="dxa"/>
            <w:bottom w:w="15" w:type="dxa"/>
            <w:right w:w="15" w:type="dxa"/>
          </w:tblCellMar>
        </w:tblPrEx>
        <w:trPr>
          <w:trHeight w:val="1968"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65635AC9"/>
        </w:tc>
        <w:tc>
          <w:tcPr>
            <w:tcW w:w="855" w:type="dxa"/>
            <w:tcBorders>
              <w:top w:val="single" w:color="auto" w:sz="4" w:space="0"/>
              <w:left w:val="single" w:color="auto" w:sz="4" w:space="0"/>
              <w:bottom w:val="single" w:color="auto" w:sz="4" w:space="0"/>
              <w:right w:val="single" w:color="auto" w:sz="4" w:space="0"/>
            </w:tcBorders>
            <w:vAlign w:val="center"/>
          </w:tcPr>
          <w:p w14:paraId="2F9EBA25">
            <w:pPr>
              <w:ind w:firstLine="0" w:firstLineChars="0"/>
            </w:pPr>
            <w:r>
              <w:rPr>
                <w:rFonts w:hint="eastAsia"/>
              </w:rPr>
              <w:t>马路</w:t>
            </w:r>
          </w:p>
        </w:tc>
        <w:tc>
          <w:tcPr>
            <w:tcW w:w="5790" w:type="dxa"/>
            <w:tcBorders>
              <w:top w:val="single" w:color="auto" w:sz="4" w:space="0"/>
              <w:left w:val="single" w:color="auto" w:sz="4" w:space="0"/>
              <w:bottom w:val="single" w:color="auto" w:sz="4" w:space="0"/>
              <w:right w:val="single" w:color="auto" w:sz="4" w:space="0"/>
            </w:tcBorders>
            <w:vAlign w:val="center"/>
          </w:tcPr>
          <w:p w14:paraId="7757F135">
            <w:r>
              <w:rPr>
                <w:rFonts w:hint="eastAsia"/>
              </w:rPr>
              <w:t>采用</w:t>
            </w:r>
            <w:r>
              <w:t>UV印染工艺，还原马路所有划线及斑马线等。材质为ABS板，耐磨性强、抗冲击性好、不易变形、易于加工和粘接，能模拟真实路面的质感和耐用性。</w:t>
            </w:r>
          </w:p>
        </w:tc>
        <w:tc>
          <w:tcPr>
            <w:tcW w:w="1559" w:type="dxa"/>
            <w:tcBorders>
              <w:top w:val="single" w:color="auto" w:sz="4" w:space="0"/>
              <w:left w:val="single" w:color="auto" w:sz="4" w:space="0"/>
              <w:bottom w:val="single" w:color="auto" w:sz="4" w:space="0"/>
              <w:right w:val="single" w:color="auto" w:sz="4" w:space="0"/>
            </w:tcBorders>
          </w:tcPr>
          <w:p w14:paraId="03CD814F"/>
        </w:tc>
      </w:tr>
      <w:tr w14:paraId="7DE73A72">
        <w:tblPrEx>
          <w:tblCellMar>
            <w:top w:w="15" w:type="dxa"/>
            <w:left w:w="15" w:type="dxa"/>
            <w:bottom w:w="15" w:type="dxa"/>
            <w:right w:w="15" w:type="dxa"/>
          </w:tblCellMar>
        </w:tblPrEx>
        <w:trPr>
          <w:trHeight w:val="2322"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094ACF75"/>
        </w:tc>
        <w:tc>
          <w:tcPr>
            <w:tcW w:w="855" w:type="dxa"/>
            <w:tcBorders>
              <w:top w:val="single" w:color="auto" w:sz="4" w:space="0"/>
              <w:left w:val="single" w:color="auto" w:sz="4" w:space="0"/>
              <w:bottom w:val="single" w:color="auto" w:sz="4" w:space="0"/>
              <w:right w:val="single" w:color="auto" w:sz="4" w:space="0"/>
            </w:tcBorders>
            <w:vAlign w:val="center"/>
          </w:tcPr>
          <w:p w14:paraId="16056D7C">
            <w:pPr>
              <w:ind w:firstLine="0" w:firstLineChars="0"/>
            </w:pPr>
            <w:r>
              <w:rPr>
                <w:rFonts w:hint="eastAsia"/>
              </w:rPr>
              <w:t>水系</w:t>
            </w:r>
          </w:p>
        </w:tc>
        <w:tc>
          <w:tcPr>
            <w:tcW w:w="5790" w:type="dxa"/>
            <w:tcBorders>
              <w:top w:val="single" w:color="auto" w:sz="4" w:space="0"/>
              <w:left w:val="single" w:color="auto" w:sz="4" w:space="0"/>
              <w:bottom w:val="single" w:color="auto" w:sz="4" w:space="0"/>
              <w:right w:val="single" w:color="auto" w:sz="4" w:space="0"/>
            </w:tcBorders>
            <w:vAlign w:val="center"/>
          </w:tcPr>
          <w:p w14:paraId="6945E771">
            <w:r>
              <w:rPr>
                <w:rFonts w:hint="eastAsia"/>
              </w:rPr>
              <w:t>采用</w:t>
            </w:r>
            <w:r>
              <w:t>2.0透明亚克力，人工喷湖蓝色漆，底部可选择安装发光灯带；或采用经高温加工而成的田宫水纹玻璃或德产WATER 508合成高分子聚合仿真水面，其颜色可根据水面所在环境调节其深浅，使其达到统一、协调环境的效果。另根据甲方要求还可以制作动感水和真水。</w:t>
            </w:r>
          </w:p>
        </w:tc>
        <w:tc>
          <w:tcPr>
            <w:tcW w:w="1559" w:type="dxa"/>
            <w:tcBorders>
              <w:top w:val="single" w:color="auto" w:sz="4" w:space="0"/>
              <w:left w:val="single" w:color="auto" w:sz="4" w:space="0"/>
              <w:bottom w:val="single" w:color="auto" w:sz="4" w:space="0"/>
              <w:right w:val="single" w:color="auto" w:sz="4" w:space="0"/>
            </w:tcBorders>
          </w:tcPr>
          <w:p w14:paraId="39CCB923"/>
        </w:tc>
      </w:tr>
      <w:tr w14:paraId="7366B486">
        <w:tblPrEx>
          <w:tblCellMar>
            <w:top w:w="15" w:type="dxa"/>
            <w:left w:w="15" w:type="dxa"/>
            <w:bottom w:w="15" w:type="dxa"/>
            <w:right w:w="15" w:type="dxa"/>
          </w:tblCellMar>
        </w:tblPrEx>
        <w:trPr>
          <w:trHeight w:val="1189"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2ABA133D"/>
        </w:tc>
        <w:tc>
          <w:tcPr>
            <w:tcW w:w="855" w:type="dxa"/>
            <w:tcBorders>
              <w:top w:val="single" w:color="auto" w:sz="4" w:space="0"/>
              <w:left w:val="single" w:color="auto" w:sz="4" w:space="0"/>
              <w:bottom w:val="single" w:color="auto" w:sz="4" w:space="0"/>
              <w:right w:val="single" w:color="auto" w:sz="4" w:space="0"/>
            </w:tcBorders>
            <w:vAlign w:val="center"/>
          </w:tcPr>
          <w:p w14:paraId="3F80CD52">
            <w:pPr>
              <w:ind w:firstLine="0" w:firstLineChars="0"/>
            </w:pPr>
            <w:r>
              <w:rPr>
                <w:rFonts w:hint="eastAsia"/>
              </w:rPr>
              <w:t>山体地形</w:t>
            </w:r>
          </w:p>
        </w:tc>
        <w:tc>
          <w:tcPr>
            <w:tcW w:w="5790" w:type="dxa"/>
            <w:tcBorders>
              <w:top w:val="single" w:color="auto" w:sz="4" w:space="0"/>
              <w:left w:val="single" w:color="auto" w:sz="4" w:space="0"/>
              <w:bottom w:val="single" w:color="auto" w:sz="4" w:space="0"/>
              <w:right w:val="single" w:color="auto" w:sz="4" w:space="0"/>
            </w:tcBorders>
            <w:vAlign w:val="center"/>
          </w:tcPr>
          <w:p w14:paraId="4B51AB8A">
            <w:r>
              <w:rPr>
                <w:rFonts w:hint="eastAsia"/>
              </w:rPr>
              <w:t>山体地形高差采用</w:t>
            </w:r>
            <w:r>
              <w:t>50毫米保温板制作。依据总平面图标明数据制作。</w:t>
            </w:r>
          </w:p>
        </w:tc>
        <w:tc>
          <w:tcPr>
            <w:tcW w:w="1559" w:type="dxa"/>
            <w:tcBorders>
              <w:top w:val="single" w:color="auto" w:sz="4" w:space="0"/>
              <w:left w:val="single" w:color="auto" w:sz="4" w:space="0"/>
              <w:bottom w:val="single" w:color="auto" w:sz="4" w:space="0"/>
              <w:right w:val="single" w:color="auto" w:sz="4" w:space="0"/>
            </w:tcBorders>
          </w:tcPr>
          <w:p w14:paraId="172EA46D"/>
        </w:tc>
      </w:tr>
      <w:tr w14:paraId="2CF37184">
        <w:tblPrEx>
          <w:tblCellMar>
            <w:top w:w="15" w:type="dxa"/>
            <w:left w:w="15" w:type="dxa"/>
            <w:bottom w:w="15" w:type="dxa"/>
            <w:right w:w="15" w:type="dxa"/>
          </w:tblCellMar>
        </w:tblPrEx>
        <w:trPr>
          <w:trHeight w:val="2525" w:hRule="atLeast"/>
          <w:jc w:val="center"/>
        </w:trPr>
        <w:tc>
          <w:tcPr>
            <w:tcW w:w="1129" w:type="dxa"/>
            <w:tcBorders>
              <w:top w:val="single" w:color="auto" w:sz="4" w:space="0"/>
              <w:left w:val="single" w:color="auto" w:sz="4" w:space="0"/>
              <w:right w:val="single" w:color="auto" w:sz="4" w:space="0"/>
            </w:tcBorders>
            <w:vAlign w:val="center"/>
          </w:tcPr>
          <w:p w14:paraId="23D8921A">
            <w:pPr>
              <w:ind w:firstLine="0" w:firstLineChars="0"/>
            </w:pPr>
            <w:r>
              <w:rPr>
                <w:rFonts w:hint="eastAsia"/>
              </w:rPr>
              <w:t>上色</w:t>
            </w:r>
          </w:p>
          <w:p w14:paraId="46286B18">
            <w:pPr>
              <w:ind w:firstLine="0" w:firstLineChars="0"/>
              <w:rPr>
                <w:sz w:val="24"/>
              </w:rPr>
            </w:pPr>
            <w:r>
              <w:rPr>
                <w:rFonts w:hint="eastAsia"/>
              </w:rPr>
              <w:t>效果</w:t>
            </w:r>
          </w:p>
        </w:tc>
        <w:tc>
          <w:tcPr>
            <w:tcW w:w="855" w:type="dxa"/>
            <w:tcBorders>
              <w:top w:val="single" w:color="auto" w:sz="4" w:space="0"/>
              <w:left w:val="single" w:color="auto" w:sz="4" w:space="0"/>
              <w:bottom w:val="single" w:color="auto" w:sz="4" w:space="0"/>
              <w:right w:val="single" w:color="auto" w:sz="4" w:space="0"/>
            </w:tcBorders>
            <w:vAlign w:val="center"/>
          </w:tcPr>
          <w:p w14:paraId="17A15FA6">
            <w:pPr>
              <w:ind w:firstLine="0" w:firstLineChars="0"/>
            </w:pPr>
            <w:r>
              <w:rPr>
                <w:rFonts w:hint="eastAsia"/>
              </w:rPr>
              <w:t>上色材料</w:t>
            </w:r>
          </w:p>
        </w:tc>
        <w:tc>
          <w:tcPr>
            <w:tcW w:w="5790" w:type="dxa"/>
            <w:tcBorders>
              <w:top w:val="single" w:color="auto" w:sz="4" w:space="0"/>
              <w:left w:val="single" w:color="auto" w:sz="4" w:space="0"/>
              <w:bottom w:val="single" w:color="auto" w:sz="4" w:space="0"/>
              <w:right w:val="single" w:color="auto" w:sz="4" w:space="0"/>
            </w:tcBorders>
            <w:vAlign w:val="center"/>
          </w:tcPr>
          <w:p w14:paraId="24DF144F">
            <w:r>
              <w:rPr>
                <w:rFonts w:hint="eastAsia"/>
              </w:rPr>
              <w:t>采用环保色彩技术、高效抗污、防霉效果的环保漆进行上色。颜色可根据潘通色卡、国标色卡等多种色卡进行调制或电脑调漆，纯正无味不含</w:t>
            </w:r>
            <w:r>
              <w:t>APEO，VOC含量远优于欧洲标准(≤50g/L)。</w:t>
            </w:r>
            <w:r>
              <w:rPr>
                <w:rFonts w:hint="eastAsia"/>
              </w:rPr>
              <w:t>配用</w:t>
            </w:r>
            <w:r>
              <w:t>S6系列环保色彩技术、高效抗污、防霉效果的3A环保漆及真石漆。</w:t>
            </w:r>
          </w:p>
        </w:tc>
        <w:tc>
          <w:tcPr>
            <w:tcW w:w="1559" w:type="dxa"/>
            <w:tcBorders>
              <w:top w:val="single" w:color="auto" w:sz="4" w:space="0"/>
              <w:left w:val="single" w:color="auto" w:sz="4" w:space="0"/>
              <w:bottom w:val="single" w:color="auto" w:sz="4" w:space="0"/>
              <w:right w:val="single" w:color="auto" w:sz="4" w:space="0"/>
            </w:tcBorders>
          </w:tcPr>
          <w:p w14:paraId="1D1AEC99"/>
        </w:tc>
      </w:tr>
      <w:tr w14:paraId="773F7959">
        <w:tblPrEx>
          <w:tblCellMar>
            <w:top w:w="15" w:type="dxa"/>
            <w:left w:w="15" w:type="dxa"/>
            <w:bottom w:w="15" w:type="dxa"/>
            <w:right w:w="15" w:type="dxa"/>
          </w:tblCellMar>
        </w:tblPrEx>
        <w:trPr>
          <w:trHeight w:val="2663" w:hRule="atLeast"/>
          <w:jc w:val="center"/>
        </w:trPr>
        <w:tc>
          <w:tcPr>
            <w:tcW w:w="1129" w:type="dxa"/>
            <w:vMerge w:val="restart"/>
            <w:tcBorders>
              <w:top w:val="single" w:color="auto" w:sz="4" w:space="0"/>
              <w:left w:val="single" w:color="auto" w:sz="4" w:space="0"/>
              <w:right w:val="single" w:color="auto" w:sz="4" w:space="0"/>
            </w:tcBorders>
            <w:vAlign w:val="center"/>
          </w:tcPr>
          <w:p w14:paraId="73CE1603">
            <w:pPr>
              <w:ind w:firstLine="0" w:firstLineChars="0"/>
            </w:pPr>
            <w:r>
              <w:rPr>
                <w:rFonts w:hint="eastAsia"/>
              </w:rPr>
              <w:t>灯光</w:t>
            </w:r>
          </w:p>
          <w:p w14:paraId="125696D1">
            <w:pPr>
              <w:ind w:firstLine="0" w:firstLineChars="0"/>
              <w:rPr>
                <w:sz w:val="24"/>
              </w:rPr>
            </w:pPr>
            <w:r>
              <w:rPr>
                <w:rFonts w:hint="eastAsia"/>
              </w:rPr>
              <w:t>效果</w:t>
            </w:r>
          </w:p>
        </w:tc>
        <w:tc>
          <w:tcPr>
            <w:tcW w:w="855" w:type="dxa"/>
            <w:tcBorders>
              <w:top w:val="single" w:color="auto" w:sz="4" w:space="0"/>
              <w:left w:val="single" w:color="auto" w:sz="4" w:space="0"/>
              <w:bottom w:val="single" w:color="auto" w:sz="4" w:space="0"/>
              <w:right w:val="single" w:color="auto" w:sz="4" w:space="0"/>
            </w:tcBorders>
            <w:vAlign w:val="center"/>
          </w:tcPr>
          <w:p w14:paraId="1EE49CCE">
            <w:pPr>
              <w:ind w:firstLine="0" w:firstLineChars="0"/>
            </w:pPr>
            <w:r>
              <w:rPr>
                <w:rFonts w:hint="eastAsia"/>
              </w:rPr>
              <w:t>灯具选材</w:t>
            </w:r>
          </w:p>
        </w:tc>
        <w:tc>
          <w:tcPr>
            <w:tcW w:w="5790" w:type="dxa"/>
            <w:tcBorders>
              <w:top w:val="single" w:color="auto" w:sz="4" w:space="0"/>
              <w:left w:val="single" w:color="auto" w:sz="4" w:space="0"/>
              <w:bottom w:val="single" w:color="auto" w:sz="4" w:space="0"/>
              <w:right w:val="single" w:color="auto" w:sz="4" w:space="0"/>
            </w:tcBorders>
            <w:vAlign w:val="center"/>
          </w:tcPr>
          <w:p w14:paraId="43604C40">
            <w:r>
              <w:rPr>
                <w:rFonts w:hint="eastAsia"/>
              </w:rPr>
              <w:t>为保证沙盘灯光的使用寿命及安全，楼体灯光采用</w:t>
            </w:r>
            <w:bookmarkStart w:id="0" w:name="OLE_LINK5"/>
            <w:bookmarkStart w:id="1" w:name="OLE_LINK6"/>
            <w:r>
              <w:rPr>
                <w:rFonts w:hint="eastAsia"/>
              </w:rPr>
              <w:t>品质不低于</w:t>
            </w:r>
            <w:bookmarkEnd w:id="0"/>
            <w:bookmarkEnd w:id="1"/>
            <w:r>
              <w:rPr>
                <w:rFonts w:hint="eastAsia"/>
              </w:rPr>
              <w:t>深圳产超量</w:t>
            </w:r>
            <w:r>
              <w:t>12伏8毫米宽白色灯带，</w:t>
            </w:r>
            <w:r>
              <w:rPr>
                <w:rFonts w:hint="eastAsia"/>
              </w:rPr>
              <w:t>品质不低于上海产明纬开关电源</w:t>
            </w:r>
            <w:r>
              <w:t xml:space="preserve">12伏33A, </w:t>
            </w:r>
            <w:r>
              <w:rPr>
                <w:rFonts w:hint="eastAsia"/>
              </w:rPr>
              <w:t>品质不低于青岛产国标</w:t>
            </w:r>
            <w:r>
              <w:t>1.5平方电线连接输入电压。</w:t>
            </w:r>
            <w:r>
              <w:rPr>
                <w:rFonts w:hint="eastAsia"/>
              </w:rPr>
              <w:t>生产工艺为</w:t>
            </w:r>
            <w:r>
              <w:t>SMT贴片回流焊工艺、FPC分敷铜、压延铜等技术，灯条可任意弯折。</w:t>
            </w:r>
          </w:p>
        </w:tc>
        <w:tc>
          <w:tcPr>
            <w:tcW w:w="1559" w:type="dxa"/>
            <w:tcBorders>
              <w:top w:val="single" w:color="auto" w:sz="4" w:space="0"/>
              <w:left w:val="single" w:color="auto" w:sz="4" w:space="0"/>
              <w:bottom w:val="single" w:color="auto" w:sz="4" w:space="0"/>
              <w:right w:val="single" w:color="auto" w:sz="4" w:space="0"/>
            </w:tcBorders>
          </w:tcPr>
          <w:p w14:paraId="6059FCAE"/>
        </w:tc>
      </w:tr>
      <w:tr w14:paraId="1C0C3E13">
        <w:tblPrEx>
          <w:tblCellMar>
            <w:top w:w="15" w:type="dxa"/>
            <w:left w:w="15" w:type="dxa"/>
            <w:bottom w:w="15" w:type="dxa"/>
            <w:right w:w="15" w:type="dxa"/>
          </w:tblCellMar>
        </w:tblPrEx>
        <w:trPr>
          <w:trHeight w:val="2066" w:hRule="atLeast"/>
          <w:jc w:val="center"/>
        </w:trPr>
        <w:tc>
          <w:tcPr>
            <w:tcW w:w="1129" w:type="dxa"/>
            <w:vMerge w:val="continue"/>
            <w:tcBorders>
              <w:left w:val="single" w:color="auto" w:sz="4" w:space="0"/>
              <w:right w:val="single" w:color="auto" w:sz="4" w:space="0"/>
            </w:tcBorders>
            <w:vAlign w:val="center"/>
          </w:tcPr>
          <w:p w14:paraId="591F38E0"/>
        </w:tc>
        <w:tc>
          <w:tcPr>
            <w:tcW w:w="855" w:type="dxa"/>
            <w:tcBorders>
              <w:top w:val="single" w:color="auto" w:sz="4" w:space="0"/>
              <w:left w:val="single" w:color="auto" w:sz="4" w:space="0"/>
              <w:bottom w:val="single" w:color="auto" w:sz="4" w:space="0"/>
              <w:right w:val="single" w:color="auto" w:sz="4" w:space="0"/>
            </w:tcBorders>
            <w:vAlign w:val="center"/>
          </w:tcPr>
          <w:p w14:paraId="1DD5D8CC">
            <w:pPr>
              <w:ind w:firstLine="0" w:firstLineChars="0"/>
            </w:pPr>
            <w:r>
              <w:rPr>
                <w:rFonts w:hint="eastAsia"/>
              </w:rPr>
              <w:t>灯控系统</w:t>
            </w:r>
          </w:p>
        </w:tc>
        <w:tc>
          <w:tcPr>
            <w:tcW w:w="5790" w:type="dxa"/>
            <w:tcBorders>
              <w:top w:val="single" w:color="auto" w:sz="4" w:space="0"/>
              <w:left w:val="single" w:color="auto" w:sz="4" w:space="0"/>
              <w:bottom w:val="single" w:color="auto" w:sz="4" w:space="0"/>
              <w:right w:val="single" w:color="auto" w:sz="4" w:space="0"/>
            </w:tcBorders>
            <w:vAlign w:val="center"/>
          </w:tcPr>
          <w:p w14:paraId="2FEAC168">
            <w:r>
              <w:rPr>
                <w:rFonts w:hint="eastAsia"/>
              </w:rPr>
              <w:t>配置各种型号的输电线、继电器、变压器、对插等配件设计金属按键或遥控系统，实现对灯光演示的精确控制。可分楼栋、楼层控制灯光。</w:t>
            </w:r>
          </w:p>
        </w:tc>
        <w:tc>
          <w:tcPr>
            <w:tcW w:w="1559" w:type="dxa"/>
            <w:tcBorders>
              <w:top w:val="single" w:color="auto" w:sz="4" w:space="0"/>
              <w:left w:val="single" w:color="auto" w:sz="4" w:space="0"/>
              <w:bottom w:val="single" w:color="auto" w:sz="4" w:space="0"/>
              <w:right w:val="single" w:color="auto" w:sz="4" w:space="0"/>
            </w:tcBorders>
          </w:tcPr>
          <w:p w14:paraId="5C0A8E91"/>
        </w:tc>
      </w:tr>
      <w:tr w14:paraId="5509B350">
        <w:tblPrEx>
          <w:tblCellMar>
            <w:top w:w="15" w:type="dxa"/>
            <w:left w:w="15" w:type="dxa"/>
            <w:bottom w:w="15" w:type="dxa"/>
            <w:right w:w="15" w:type="dxa"/>
          </w:tblCellMar>
        </w:tblPrEx>
        <w:trPr>
          <w:trHeight w:val="4421" w:hRule="atLeast"/>
          <w:jc w:val="center"/>
        </w:trPr>
        <w:tc>
          <w:tcPr>
            <w:tcW w:w="1129" w:type="dxa"/>
            <w:vMerge w:val="continue"/>
            <w:tcBorders>
              <w:left w:val="single" w:color="auto" w:sz="4" w:space="0"/>
              <w:bottom w:val="single" w:color="auto" w:sz="4" w:space="0"/>
              <w:right w:val="single" w:color="auto" w:sz="4" w:space="0"/>
            </w:tcBorders>
            <w:vAlign w:val="center"/>
          </w:tcPr>
          <w:p w14:paraId="1CB619E0"/>
        </w:tc>
        <w:tc>
          <w:tcPr>
            <w:tcW w:w="855" w:type="dxa"/>
            <w:tcBorders>
              <w:top w:val="single" w:color="auto" w:sz="4" w:space="0"/>
              <w:left w:val="single" w:color="auto" w:sz="4" w:space="0"/>
              <w:bottom w:val="single" w:color="auto" w:sz="4" w:space="0"/>
              <w:right w:val="single" w:color="auto" w:sz="4" w:space="0"/>
            </w:tcBorders>
            <w:vAlign w:val="center"/>
          </w:tcPr>
          <w:p w14:paraId="110B57FB">
            <w:pPr>
              <w:ind w:firstLine="0" w:firstLineChars="0"/>
            </w:pPr>
            <w:r>
              <w:rPr>
                <w:rFonts w:hint="eastAsia"/>
              </w:rPr>
              <w:t>灯光设计</w:t>
            </w:r>
          </w:p>
        </w:tc>
        <w:tc>
          <w:tcPr>
            <w:tcW w:w="5790" w:type="dxa"/>
            <w:tcBorders>
              <w:top w:val="single" w:color="auto" w:sz="4" w:space="0"/>
              <w:left w:val="single" w:color="auto" w:sz="4" w:space="0"/>
              <w:bottom w:val="single" w:color="auto" w:sz="4" w:space="0"/>
              <w:right w:val="single" w:color="auto" w:sz="4" w:space="0"/>
            </w:tcBorders>
            <w:vAlign w:val="center"/>
          </w:tcPr>
          <w:p w14:paraId="7B3AF519">
            <w:r>
              <w:t>1、根据建筑的特点，楼体制作出“整体通亮”效果，建筑物外侧为“轮廓灯”效果，着重强调建筑物的夜景效果和层次感。</w:t>
            </w:r>
          </w:p>
          <w:p w14:paraId="1FD9B3C6">
            <w:r>
              <w:t>2、采用不同颜色的草坪灯、LED灯对环境加以渲染，树丛中、花池中均可埋置泛光型彩色灯进行各角度补光烘托。突出该项目的美丽夜景氛围。</w:t>
            </w:r>
          </w:p>
          <w:p w14:paraId="73EEDC7B">
            <w:pPr>
              <w:rPr>
                <w:rFonts w:hint="eastAsia"/>
              </w:rPr>
            </w:pPr>
            <w:r>
              <w:t>3、根据水处理原理，设计不同颜色和流向的流水灯光表示水处理的过程，流水灯光可以让展示具有动态，更加生动直观。可根据</w:t>
            </w:r>
            <w:r>
              <w:rPr>
                <w:rFonts w:hint="eastAsia"/>
              </w:rPr>
              <w:t>采购方需要选择。</w:t>
            </w:r>
          </w:p>
        </w:tc>
        <w:tc>
          <w:tcPr>
            <w:tcW w:w="1559" w:type="dxa"/>
            <w:tcBorders>
              <w:top w:val="single" w:color="auto" w:sz="4" w:space="0"/>
              <w:left w:val="single" w:color="auto" w:sz="4" w:space="0"/>
              <w:bottom w:val="single" w:color="auto" w:sz="4" w:space="0"/>
              <w:right w:val="single" w:color="auto" w:sz="4" w:space="0"/>
            </w:tcBorders>
          </w:tcPr>
          <w:p w14:paraId="0E4A5774"/>
        </w:tc>
      </w:tr>
      <w:tr w14:paraId="7B1451CD">
        <w:tblPrEx>
          <w:tblCellMar>
            <w:top w:w="15" w:type="dxa"/>
            <w:left w:w="15" w:type="dxa"/>
            <w:bottom w:w="15" w:type="dxa"/>
            <w:right w:w="15" w:type="dxa"/>
          </w:tblCellMar>
        </w:tblPrEx>
        <w:trPr>
          <w:trHeight w:val="2056" w:hRule="atLeast"/>
          <w:jc w:val="center"/>
        </w:trPr>
        <w:tc>
          <w:tcPr>
            <w:tcW w:w="1129" w:type="dxa"/>
            <w:tcBorders>
              <w:top w:val="single" w:color="auto" w:sz="4" w:space="0"/>
              <w:left w:val="single" w:color="auto" w:sz="4" w:space="0"/>
              <w:right w:val="single" w:color="auto" w:sz="4" w:space="0"/>
            </w:tcBorders>
            <w:vAlign w:val="center"/>
          </w:tcPr>
          <w:p w14:paraId="54F21C2B">
            <w:pPr>
              <w:ind w:firstLine="0" w:firstLineChars="0"/>
            </w:pPr>
            <w:r>
              <w:rPr>
                <w:rFonts w:hint="eastAsia"/>
              </w:rPr>
              <w:t>底板</w:t>
            </w:r>
          </w:p>
          <w:p w14:paraId="7030EA69">
            <w:pPr>
              <w:ind w:firstLine="0" w:firstLineChars="0"/>
            </w:pPr>
            <w:r>
              <w:rPr>
                <w:rFonts w:hint="eastAsia"/>
              </w:rPr>
              <w:t>处理</w:t>
            </w:r>
          </w:p>
        </w:tc>
        <w:tc>
          <w:tcPr>
            <w:tcW w:w="855" w:type="dxa"/>
            <w:tcBorders>
              <w:top w:val="single" w:color="auto" w:sz="4" w:space="0"/>
              <w:left w:val="single" w:color="auto" w:sz="4" w:space="0"/>
              <w:bottom w:val="single" w:color="auto" w:sz="4" w:space="0"/>
              <w:right w:val="single" w:color="auto" w:sz="4" w:space="0"/>
            </w:tcBorders>
            <w:vAlign w:val="center"/>
          </w:tcPr>
          <w:p w14:paraId="1F9DC2FF">
            <w:pPr>
              <w:ind w:firstLine="0" w:firstLineChars="0"/>
            </w:pPr>
            <w:r>
              <w:rPr>
                <w:rFonts w:hint="eastAsia"/>
              </w:rPr>
              <w:t>主材质</w:t>
            </w:r>
          </w:p>
        </w:tc>
        <w:tc>
          <w:tcPr>
            <w:tcW w:w="5790" w:type="dxa"/>
            <w:tcBorders>
              <w:top w:val="single" w:color="auto" w:sz="4" w:space="0"/>
              <w:left w:val="single" w:color="auto" w:sz="4" w:space="0"/>
              <w:bottom w:val="single" w:color="auto" w:sz="4" w:space="0"/>
              <w:right w:val="single" w:color="auto" w:sz="4" w:space="0"/>
            </w:tcBorders>
            <w:vAlign w:val="center"/>
          </w:tcPr>
          <w:p w14:paraId="024E6611">
            <w:r>
              <w:rPr>
                <w:rFonts w:hint="eastAsia"/>
              </w:rPr>
              <w:t>不锈钢框架（</w:t>
            </w:r>
            <w:r>
              <w:t>4x4cm方管），上面有12mm厚度木板，上面贴PVC板材（15mm），上面加ABS板（2mm）</w:t>
            </w:r>
            <w:r>
              <w:rPr>
                <w:rFonts w:hint="eastAsia"/>
              </w:rPr>
              <w:t>；沙盘裙边采用防火板材料，所有防火材料符合国家标准。</w:t>
            </w:r>
          </w:p>
        </w:tc>
        <w:tc>
          <w:tcPr>
            <w:tcW w:w="1559" w:type="dxa"/>
            <w:tcBorders>
              <w:top w:val="single" w:color="auto" w:sz="4" w:space="0"/>
              <w:left w:val="single" w:color="auto" w:sz="4" w:space="0"/>
              <w:bottom w:val="single" w:color="auto" w:sz="4" w:space="0"/>
              <w:right w:val="single" w:color="auto" w:sz="4" w:space="0"/>
            </w:tcBorders>
          </w:tcPr>
          <w:p w14:paraId="14AE3AD9"/>
        </w:tc>
      </w:tr>
      <w:tr w14:paraId="04897D46">
        <w:tblPrEx>
          <w:tblCellMar>
            <w:top w:w="15" w:type="dxa"/>
            <w:left w:w="15" w:type="dxa"/>
            <w:bottom w:w="15" w:type="dxa"/>
            <w:right w:w="15" w:type="dxa"/>
          </w:tblCellMar>
        </w:tblPrEx>
        <w:trPr>
          <w:trHeight w:val="2688" w:hRule="atLeast"/>
          <w:jc w:val="center"/>
        </w:trPr>
        <w:tc>
          <w:tcPr>
            <w:tcW w:w="1129" w:type="dxa"/>
            <w:vMerge w:val="restart"/>
            <w:tcBorders>
              <w:top w:val="single" w:color="auto" w:sz="4" w:space="0"/>
              <w:left w:val="single" w:color="auto" w:sz="4" w:space="0"/>
              <w:right w:val="single" w:color="auto" w:sz="4" w:space="0"/>
            </w:tcBorders>
            <w:vAlign w:val="center"/>
          </w:tcPr>
          <w:p w14:paraId="6859DBC0">
            <w:pPr>
              <w:ind w:firstLine="0" w:firstLineChars="0"/>
            </w:pPr>
            <w:r>
              <w:rPr>
                <w:rFonts w:hint="eastAsia"/>
              </w:rPr>
              <w:t>沙盘</w:t>
            </w:r>
          </w:p>
          <w:p w14:paraId="55931471">
            <w:pPr>
              <w:ind w:firstLine="0" w:firstLineChars="0"/>
              <w:rPr>
                <w:sz w:val="24"/>
              </w:rPr>
            </w:pPr>
            <w:r>
              <w:rPr>
                <w:rFonts w:hint="eastAsia"/>
              </w:rPr>
              <w:t>底座</w:t>
            </w:r>
          </w:p>
        </w:tc>
        <w:tc>
          <w:tcPr>
            <w:tcW w:w="855" w:type="dxa"/>
            <w:tcBorders>
              <w:top w:val="single" w:color="auto" w:sz="4" w:space="0"/>
              <w:left w:val="single" w:color="auto" w:sz="4" w:space="0"/>
              <w:bottom w:val="single" w:color="auto" w:sz="4" w:space="0"/>
              <w:right w:val="single" w:color="auto" w:sz="4" w:space="0"/>
            </w:tcBorders>
            <w:vAlign w:val="center"/>
          </w:tcPr>
          <w:p w14:paraId="06840D58">
            <w:pPr>
              <w:ind w:firstLine="0" w:firstLineChars="0"/>
            </w:pPr>
            <w:r>
              <w:rPr>
                <w:rFonts w:hint="eastAsia"/>
              </w:rPr>
              <w:t>主材质</w:t>
            </w:r>
          </w:p>
        </w:tc>
        <w:tc>
          <w:tcPr>
            <w:tcW w:w="5790" w:type="dxa"/>
            <w:tcBorders>
              <w:top w:val="single" w:color="auto" w:sz="4" w:space="0"/>
              <w:left w:val="single" w:color="auto" w:sz="4" w:space="0"/>
              <w:bottom w:val="single" w:color="auto" w:sz="4" w:space="0"/>
              <w:right w:val="single" w:color="auto" w:sz="4" w:space="0"/>
            </w:tcBorders>
            <w:vAlign w:val="center"/>
          </w:tcPr>
          <w:p w14:paraId="130097BA">
            <w:r>
              <w:rPr>
                <w:rFonts w:hint="eastAsia"/>
              </w:rPr>
              <w:t>整个沙盘由独立的多块板材拼装组成，垂直方向采用方形管支撑，横向采用国标工字钢支撑，再用角铁焊接成方格骨架，骨架与台面铆接成形，整个沙盘平稳结实，受力均匀，具有</w:t>
            </w:r>
            <w:r>
              <w:rPr>
                <w:rFonts w:cs="Arial"/>
              </w:rPr>
              <w:t>100%</w:t>
            </w:r>
            <w:r>
              <w:rPr>
                <w:rFonts w:hint="eastAsia"/>
              </w:rPr>
              <w:t>受重冗余度，满足沙盘制造、维护及清洁的需要。重量适中，带轮子易于搬运，不易变形，可用年限时间长，底层涂防火耐温材料漆面防氧化。</w:t>
            </w:r>
          </w:p>
        </w:tc>
        <w:tc>
          <w:tcPr>
            <w:tcW w:w="1559" w:type="dxa"/>
            <w:tcBorders>
              <w:top w:val="single" w:color="auto" w:sz="4" w:space="0"/>
              <w:left w:val="single" w:color="auto" w:sz="4" w:space="0"/>
              <w:bottom w:val="single" w:color="auto" w:sz="4" w:space="0"/>
              <w:right w:val="single" w:color="auto" w:sz="4" w:space="0"/>
            </w:tcBorders>
          </w:tcPr>
          <w:p w14:paraId="18C97B3C"/>
        </w:tc>
      </w:tr>
      <w:tr w14:paraId="1832CADC">
        <w:tblPrEx>
          <w:tblCellMar>
            <w:top w:w="15" w:type="dxa"/>
            <w:left w:w="15" w:type="dxa"/>
            <w:bottom w:w="15" w:type="dxa"/>
            <w:right w:w="15" w:type="dxa"/>
          </w:tblCellMar>
        </w:tblPrEx>
        <w:trPr>
          <w:trHeight w:val="2614" w:hRule="atLeast"/>
          <w:jc w:val="center"/>
        </w:trPr>
        <w:tc>
          <w:tcPr>
            <w:tcW w:w="1129" w:type="dxa"/>
            <w:vMerge w:val="continue"/>
            <w:tcBorders>
              <w:left w:val="single" w:color="auto" w:sz="4" w:space="0"/>
              <w:bottom w:val="single" w:color="auto" w:sz="4" w:space="0"/>
              <w:right w:val="single" w:color="auto" w:sz="4" w:space="0"/>
            </w:tcBorders>
            <w:vAlign w:val="center"/>
          </w:tcPr>
          <w:p w14:paraId="29979D0E"/>
        </w:tc>
        <w:tc>
          <w:tcPr>
            <w:tcW w:w="855" w:type="dxa"/>
            <w:tcBorders>
              <w:top w:val="single" w:color="auto" w:sz="4" w:space="0"/>
              <w:left w:val="single" w:color="auto" w:sz="4" w:space="0"/>
              <w:bottom w:val="single" w:color="auto" w:sz="4" w:space="0"/>
              <w:right w:val="single" w:color="auto" w:sz="4" w:space="0"/>
            </w:tcBorders>
            <w:vAlign w:val="center"/>
          </w:tcPr>
          <w:p w14:paraId="3870E586">
            <w:pPr>
              <w:ind w:firstLine="0" w:firstLineChars="0"/>
            </w:pPr>
            <w:r>
              <w:rPr>
                <w:rFonts w:hint="eastAsia"/>
              </w:rPr>
              <w:t>细节处理</w:t>
            </w:r>
          </w:p>
        </w:tc>
        <w:tc>
          <w:tcPr>
            <w:tcW w:w="5790" w:type="dxa"/>
            <w:tcBorders>
              <w:top w:val="single" w:color="auto" w:sz="4" w:space="0"/>
              <w:left w:val="single" w:color="auto" w:sz="4" w:space="0"/>
              <w:bottom w:val="single" w:color="auto" w:sz="4" w:space="0"/>
              <w:right w:val="single" w:color="auto" w:sz="4" w:space="0"/>
            </w:tcBorders>
            <w:vAlign w:val="center"/>
          </w:tcPr>
          <w:p w14:paraId="5B1DA5A5">
            <w:r>
              <w:rPr>
                <w:rFonts w:hint="eastAsia"/>
              </w:rPr>
              <w:t>沙盘底部根据线路走向装有线盒，沙盘所有线路全部装在线盒内，以保证消防安全及防鼠安全。整个沙盘下部密闭良好，留有检修口，设备维修方便。</w:t>
            </w:r>
          </w:p>
        </w:tc>
        <w:tc>
          <w:tcPr>
            <w:tcW w:w="1559" w:type="dxa"/>
            <w:tcBorders>
              <w:top w:val="single" w:color="auto" w:sz="4" w:space="0"/>
              <w:left w:val="single" w:color="auto" w:sz="4" w:space="0"/>
              <w:bottom w:val="single" w:color="auto" w:sz="4" w:space="0"/>
              <w:right w:val="single" w:color="auto" w:sz="4" w:space="0"/>
            </w:tcBorders>
          </w:tcPr>
          <w:p w14:paraId="1B68A29B"/>
        </w:tc>
      </w:tr>
    </w:tbl>
    <w:p w14:paraId="6D06E408">
      <w:pPr>
        <w:ind w:left="0" w:leftChars="0" w:firstLine="0" w:firstLineChars="0"/>
      </w:pPr>
    </w:p>
    <w:p w14:paraId="18495425">
      <w:pPr>
        <w:pStyle w:val="18"/>
        <w:numPr>
          <w:ilvl w:val="0"/>
          <w:numId w:val="1"/>
        </w:numPr>
        <w:ind w:firstLineChars="0"/>
      </w:pPr>
      <w:r>
        <w:rPr>
          <w:rFonts w:hint="eastAsia"/>
        </w:rPr>
        <w:t>评分办法</w:t>
      </w:r>
    </w:p>
    <w:p w14:paraId="3B951641">
      <w:r>
        <w:rPr>
          <w:rFonts w:hint="eastAsia"/>
        </w:rPr>
        <w:t>（一）技术部分（</w:t>
      </w:r>
      <w:r>
        <w:t>60</w:t>
      </w:r>
      <w:r>
        <w:rPr>
          <w:rFonts w:hint="eastAsia"/>
        </w:rPr>
        <w:t>分）</w:t>
      </w:r>
    </w:p>
    <w:p w14:paraId="17465296">
      <w:pPr>
        <w:pStyle w:val="18"/>
        <w:numPr>
          <w:ilvl w:val="0"/>
          <w:numId w:val="2"/>
        </w:numPr>
        <w:ind w:firstLineChars="0"/>
      </w:pPr>
      <w:r>
        <w:rPr>
          <w:rFonts w:hint="eastAsia"/>
        </w:rPr>
        <w:t>技术和服务要求响应情况（</w:t>
      </w:r>
      <w:r>
        <w:t>39</w:t>
      </w:r>
      <w:r>
        <w:rPr>
          <w:rFonts w:hint="eastAsia"/>
        </w:rPr>
        <w:t>分）</w:t>
      </w:r>
    </w:p>
    <w:p w14:paraId="326AB6F7">
      <w:pPr>
        <w:pStyle w:val="18"/>
        <w:ind w:firstLine="640"/>
      </w:pPr>
      <w:r>
        <w:rPr>
          <w:rFonts w:hint="eastAsia"/>
        </w:rPr>
        <w:t>根据各投标人对采购需求中“技术和服务要求”各项条款内容的承诺响应情况，由评标委员会进行评议并评分，完全满足招标文件要求的得</w:t>
      </w:r>
      <w:r>
        <w:t>39</w:t>
      </w:r>
      <w:r>
        <w:rPr>
          <w:rFonts w:hint="eastAsia"/>
        </w:rPr>
        <w:t>分。共</w:t>
      </w:r>
      <w:r>
        <w:t>13</w:t>
      </w:r>
      <w:r>
        <w:rPr>
          <w:rFonts w:hint="eastAsia"/>
        </w:rPr>
        <w:t>项，每负偏离一项扣</w:t>
      </w:r>
      <w:r>
        <w:t>3</w:t>
      </w:r>
      <w:r>
        <w:rPr>
          <w:rFonts w:hint="eastAsia"/>
        </w:rPr>
        <w:t>分，满分</w:t>
      </w:r>
      <w:r>
        <w:t>39</w:t>
      </w:r>
      <w:r>
        <w:rPr>
          <w:rFonts w:hint="eastAsia"/>
        </w:rPr>
        <w:t>分，正偏离不加分。</w:t>
      </w:r>
    </w:p>
    <w:p w14:paraId="04A70E52">
      <w:r>
        <w:t xml:space="preserve">2. </w:t>
      </w:r>
      <w:r>
        <w:rPr>
          <w:rFonts w:hint="eastAsia"/>
        </w:rPr>
        <w:t>理解与呈现</w:t>
      </w:r>
      <w:r>
        <w:t xml:space="preserve"> (10</w:t>
      </w:r>
      <w:r>
        <w:rPr>
          <w:rFonts w:hint="eastAsia"/>
        </w:rPr>
        <w:t>分</w:t>
      </w:r>
      <w:r>
        <w:t xml:space="preserve">) </w:t>
      </w:r>
      <w:r>
        <w:rPr>
          <w:rFonts w:hint="eastAsia"/>
        </w:rPr>
        <w:t>（需法定代表人或授权代表人在开标现场讲解方案）</w:t>
      </w:r>
    </w:p>
    <w:p w14:paraId="154A7F9F">
      <w:r>
        <w:t>A</w:t>
      </w:r>
      <w:r>
        <w:rPr>
          <w:rFonts w:hint="eastAsia"/>
        </w:rPr>
        <w:t>档</w:t>
      </w:r>
      <w:r>
        <w:t xml:space="preserve"> (10</w:t>
      </w:r>
      <w:r>
        <w:rPr>
          <w:rFonts w:hint="eastAsia"/>
        </w:rPr>
        <w:t>分)</w:t>
      </w:r>
      <w:bookmarkStart w:id="2" w:name="OLE_LINK1"/>
      <w:bookmarkStart w:id="3" w:name="OLE_LINK2"/>
      <w:r>
        <w:rPr>
          <w:rFonts w:hint="eastAsia"/>
        </w:rPr>
        <w:t>：</w:t>
      </w:r>
      <w:bookmarkEnd w:id="2"/>
      <w:bookmarkEnd w:id="3"/>
      <w:r>
        <w:rPr>
          <w:rFonts w:hint="eastAsia"/>
        </w:rPr>
        <w:t>方案精准把握“一院三地”的战略定位与功能区分，布局科学，空间关系处理极具层次感。建筑风貌还原度极高，地形塑造生动准确。设计理念新颖，整体艺术效果突出，远超一般展示水平。</w:t>
      </w:r>
    </w:p>
    <w:p w14:paraId="5E51D90D">
      <w:r>
        <w:t>B</w:t>
      </w:r>
      <w:r>
        <w:rPr>
          <w:rFonts w:hint="eastAsia"/>
        </w:rPr>
        <w:t>档</w:t>
      </w:r>
      <w:r>
        <w:t xml:space="preserve"> (7</w:t>
      </w:r>
      <w:r>
        <w:rPr>
          <w:rFonts w:hint="eastAsia"/>
        </w:rPr>
        <w:t>分</w:t>
      </w:r>
      <w:r>
        <w:t xml:space="preserve">) </w:t>
      </w:r>
      <w:r>
        <w:rPr>
          <w:rFonts w:hint="eastAsia"/>
        </w:rPr>
        <w:t>：方案能较好理解项目需求，对三地布局和建筑风貌的呈现较为清晰准确，空间关系合理。设计理念清晰，整体美观性良好，满足展示要求。</w:t>
      </w:r>
    </w:p>
    <w:p w14:paraId="06AFC70E">
      <w:r>
        <w:t>C</w:t>
      </w:r>
      <w:r>
        <w:rPr>
          <w:rFonts w:hint="eastAsia"/>
        </w:rPr>
        <w:t>档</w:t>
      </w:r>
      <w:r>
        <w:t xml:space="preserve"> (4</w:t>
      </w:r>
      <w:r>
        <w:rPr>
          <w:rFonts w:hint="eastAsia"/>
        </w:rPr>
        <w:t>分</w:t>
      </w:r>
      <w:r>
        <w:t xml:space="preserve">) </w:t>
      </w:r>
      <w:r>
        <w:rPr>
          <w:rFonts w:hint="eastAsia"/>
        </w:rPr>
        <w:t>：方案基本体现三地信息，但存在个别偏差或遗漏。布局、风貌或地形表现较为平淡或生硬。设计理念缺乏亮点，整体美感一般，仅达到基本合格水平。</w:t>
      </w:r>
    </w:p>
    <w:p w14:paraId="20740F52">
      <w:r>
        <w:t xml:space="preserve">3. </w:t>
      </w:r>
      <w:r>
        <w:rPr>
          <w:rFonts w:hint="eastAsia"/>
        </w:rPr>
        <w:t>工艺技术</w:t>
      </w:r>
      <w:r>
        <w:t xml:space="preserve"> (6</w:t>
      </w:r>
      <w:r>
        <w:rPr>
          <w:rFonts w:hint="eastAsia"/>
        </w:rPr>
        <w:t>分</w:t>
      </w:r>
      <w:r>
        <w:t>)</w:t>
      </w:r>
    </w:p>
    <w:p w14:paraId="088EDCF8">
      <w:r>
        <w:t>A</w:t>
      </w:r>
      <w:r>
        <w:rPr>
          <w:rFonts w:hint="eastAsia"/>
        </w:rPr>
        <w:t>档</w:t>
      </w:r>
      <w:r>
        <w:t xml:space="preserve"> (6</w:t>
      </w:r>
      <w:r>
        <w:rPr>
          <w:rFonts w:hint="eastAsia"/>
        </w:rPr>
        <w:t>分</w:t>
      </w:r>
      <w:r>
        <w:t xml:space="preserve">) </w:t>
      </w:r>
      <w:r>
        <w:rPr>
          <w:rFonts w:hint="eastAsia"/>
        </w:rPr>
        <w:t>：提出并采用行业尖端或非常成熟的制作工艺。建筑细节（如窗户、线条）极为精细，漆面质感逼真无瑕疵。灯光系统设计巧妙，集成度高，效果柔和自然。模型结构坚固稳定，具备极佳的耐久性。</w:t>
      </w:r>
    </w:p>
    <w:p w14:paraId="3579F0AC">
      <w:r>
        <w:t>B</w:t>
      </w:r>
      <w:r>
        <w:rPr>
          <w:rFonts w:hint="eastAsia"/>
        </w:rPr>
        <w:t>档</w:t>
      </w:r>
      <w:r>
        <w:t xml:space="preserve"> (4</w:t>
      </w:r>
      <w:r>
        <w:rPr>
          <w:rFonts w:hint="eastAsia"/>
        </w:rPr>
        <w:t>分</w:t>
      </w:r>
      <w:r>
        <w:t xml:space="preserve">) </w:t>
      </w:r>
      <w:r>
        <w:rPr>
          <w:rFonts w:hint="eastAsia"/>
        </w:rPr>
        <w:t>：制作工艺良好，能满足项目要求。建筑细节清晰，漆面效果平整均匀。灯光系统设置合理，效果良好。模型结构稳定，能够保证长期展示。</w:t>
      </w:r>
    </w:p>
    <w:p w14:paraId="4536A430">
      <w:r>
        <w:t>C</w:t>
      </w:r>
      <w:r>
        <w:rPr>
          <w:rFonts w:hint="eastAsia"/>
        </w:rPr>
        <w:t>档</w:t>
      </w:r>
      <w:r>
        <w:t xml:space="preserve"> (2</w:t>
      </w:r>
      <w:r>
        <w:rPr>
          <w:rFonts w:hint="eastAsia"/>
        </w:rPr>
        <w:t>分</w:t>
      </w:r>
      <w:r>
        <w:t xml:space="preserve">) </w:t>
      </w:r>
      <w:r>
        <w:rPr>
          <w:rFonts w:hint="eastAsia"/>
        </w:rPr>
        <w:t>：工艺技术为行业基础水平。建筑细节表现一般，可能存在微小瑕疵。灯光系统简单，效果普通。模型基本稳固，但在耐久性或精细度方面存在疑虑。</w:t>
      </w:r>
    </w:p>
    <w:p w14:paraId="4C85C110">
      <w:r>
        <w:t xml:space="preserve">4. </w:t>
      </w:r>
      <w:r>
        <w:rPr>
          <w:rFonts w:hint="eastAsia"/>
        </w:rPr>
        <w:t>讲解与答疑</w:t>
      </w:r>
      <w:r>
        <w:t xml:space="preserve"> (5</w:t>
      </w:r>
      <w:r>
        <w:rPr>
          <w:rFonts w:hint="eastAsia"/>
        </w:rPr>
        <w:t>分</w:t>
      </w:r>
      <w:r>
        <w:t>)</w:t>
      </w:r>
    </w:p>
    <w:p w14:paraId="08880D74">
      <w:r>
        <w:t>A</w:t>
      </w:r>
      <w:r>
        <w:rPr>
          <w:rFonts w:hint="eastAsia"/>
        </w:rPr>
        <w:t>档</w:t>
      </w:r>
      <w:r>
        <w:t xml:space="preserve"> (5</w:t>
      </w:r>
      <w:r>
        <w:rPr>
          <w:rFonts w:hint="eastAsia"/>
        </w:rPr>
        <w:t>分</w:t>
      </w:r>
      <w:r>
        <w:t xml:space="preserve">) </w:t>
      </w:r>
      <w:r>
        <w:rPr>
          <w:rFonts w:hint="eastAsia"/>
        </w:rPr>
        <w:t>：讲解人表达富有逻辑性，能深刻阐述设计精髓。对评审提问反应迅速，回答专业、准确、深入，展现出极强的技术底蕴和项目理解力。</w:t>
      </w:r>
    </w:p>
    <w:p w14:paraId="4375F6C0">
      <w:r>
        <w:t>B</w:t>
      </w:r>
      <w:r>
        <w:rPr>
          <w:rFonts w:hint="eastAsia"/>
        </w:rPr>
        <w:t>档</w:t>
      </w:r>
      <w:r>
        <w:t xml:space="preserve"> (3</w:t>
      </w:r>
      <w:r>
        <w:rPr>
          <w:rFonts w:hint="eastAsia"/>
        </w:rPr>
        <w:t>分</w:t>
      </w:r>
      <w:r>
        <w:t xml:space="preserve">) </w:t>
      </w:r>
      <w:r>
        <w:rPr>
          <w:rFonts w:hint="eastAsia"/>
        </w:rPr>
        <w:t>：讲解清晰，条理分明，能顺利陈述方案要点。能准确回答大部分提问，专业性良好，偶有需要补充说明的情况。</w:t>
      </w:r>
    </w:p>
    <w:p w14:paraId="5EF56074">
      <w:r>
        <w:t>C</w:t>
      </w:r>
      <w:r>
        <w:rPr>
          <w:rFonts w:hint="eastAsia"/>
        </w:rPr>
        <w:t>档</w:t>
      </w:r>
      <w:r>
        <w:t xml:space="preserve"> (1</w:t>
      </w:r>
      <w:r>
        <w:rPr>
          <w:rFonts w:hint="eastAsia"/>
        </w:rPr>
        <w:t>分</w:t>
      </w:r>
      <w:r>
        <w:t xml:space="preserve">) </w:t>
      </w:r>
      <w:r>
        <w:rPr>
          <w:rFonts w:hint="eastAsia"/>
        </w:rPr>
        <w:t>：讲解基本完整，但条理性或重点突出性不足。对提问的回答存在模糊、不准确或需要多次解释的情况，专业性一般。</w:t>
      </w:r>
    </w:p>
    <w:p w14:paraId="517C1AA6">
      <w:r>
        <w:rPr>
          <w:rFonts w:hint="eastAsia"/>
        </w:rPr>
        <w:t>（二）</w:t>
      </w:r>
      <w:r>
        <w:t xml:space="preserve"> </w:t>
      </w:r>
      <w:r>
        <w:rPr>
          <w:rFonts w:hint="eastAsia"/>
        </w:rPr>
        <w:t>商务部分（</w:t>
      </w:r>
      <w:r>
        <w:t>30</w:t>
      </w:r>
      <w:r>
        <w:rPr>
          <w:rFonts w:hint="eastAsia"/>
        </w:rPr>
        <w:t>分）</w:t>
      </w:r>
    </w:p>
    <w:p w14:paraId="145552F7">
      <w:r>
        <w:t>1.</w:t>
      </w:r>
      <w:r>
        <w:rPr>
          <w:rFonts w:hint="eastAsia"/>
        </w:rPr>
        <w:t>类似业绩（</w:t>
      </w:r>
      <w:r>
        <w:t>15</w:t>
      </w:r>
      <w:r>
        <w:rPr>
          <w:rFonts w:hint="eastAsia"/>
        </w:rPr>
        <w:t>分）：提供完成的同类（或类似规模、复杂程度）沙盘模型项目案例。每个成功案例得</w:t>
      </w:r>
      <w:r>
        <w:t>5</w:t>
      </w:r>
      <w:r>
        <w:rPr>
          <w:rFonts w:hint="eastAsia"/>
        </w:rPr>
        <w:t>分，满分</w:t>
      </w:r>
      <w:r>
        <w:t>15</w:t>
      </w:r>
      <w:r>
        <w:rPr>
          <w:rFonts w:hint="eastAsia"/>
        </w:rPr>
        <w:t>分。（需提供合同关键页等证明文件）</w:t>
      </w:r>
    </w:p>
    <w:p w14:paraId="47FD70D5">
      <w:r>
        <w:t>2.</w:t>
      </w:r>
      <w:r>
        <w:rPr>
          <w:rFonts w:hint="eastAsia"/>
        </w:rPr>
        <w:t>项目实施计划与保障措施（</w:t>
      </w:r>
      <w:r>
        <w:t>10</w:t>
      </w:r>
      <w:r>
        <w:rPr>
          <w:rFonts w:hint="eastAsia"/>
        </w:rPr>
        <w:t>分）</w:t>
      </w:r>
    </w:p>
    <w:p w14:paraId="60DE6661">
      <w:r>
        <w:rPr>
          <w:rFonts w:hint="eastAsia"/>
        </w:rPr>
        <w:t>质量保障（</w:t>
      </w:r>
      <w:r>
        <w:t>5</w:t>
      </w:r>
      <w:r>
        <w:rPr>
          <w:rFonts w:hint="eastAsia"/>
        </w:rPr>
        <w:t>分）：质量控制的措施是否具体、有效，是否有应对突发情况的预案。</w:t>
      </w:r>
    </w:p>
    <w:p w14:paraId="0A430402">
      <w:r>
        <w:rPr>
          <w:rFonts w:hint="eastAsia"/>
        </w:rPr>
        <w:t>后期服务（</w:t>
      </w:r>
      <w:r>
        <w:t>5</w:t>
      </w:r>
      <w:r>
        <w:rPr>
          <w:rFonts w:hint="eastAsia"/>
        </w:rPr>
        <w:t>分）：提供的售后维护、保养方案是否完善、可行。</w:t>
      </w:r>
    </w:p>
    <w:p w14:paraId="58E1AAD5">
      <w:r>
        <w:t>3.</w:t>
      </w:r>
      <w:r>
        <w:rPr>
          <w:rFonts w:hint="eastAsia"/>
        </w:rPr>
        <w:t>授权代表人（或法人）与公司大门、制作场地、设备合影（</w:t>
      </w:r>
      <w:r>
        <w:t>5</w:t>
      </w:r>
      <w:r>
        <w:rPr>
          <w:rFonts w:hint="eastAsia"/>
        </w:rPr>
        <w:t>分）</w:t>
      </w:r>
    </w:p>
    <w:p w14:paraId="297A69C3">
      <w:pPr>
        <w:rPr>
          <w:rFonts w:hint="eastAsia"/>
        </w:rPr>
      </w:pPr>
      <w:r>
        <w:rPr>
          <w:rFonts w:hint="eastAsia"/>
        </w:rPr>
        <w:t>（三） 价格部分（10分）</w:t>
      </w:r>
      <w:bookmarkStart w:id="4" w:name="_GoBack"/>
      <w:bookmarkEnd w:id="4"/>
    </w:p>
    <w:p w14:paraId="55566288">
      <w:r>
        <w:rPr>
          <w:rFonts w:hint="eastAsia"/>
          <w:lang w:bidi="ar"/>
        </w:rPr>
        <w:t>价格分采用低价优先法计算，即满足遴选文件要求且最后报价最低的供应商的价格为遴选基准价，其价格分为满分。其他供应商的价格分统一按照下列公式计算：遴选报价得分</w:t>
      </w:r>
      <w:r>
        <w:rPr>
          <w:lang w:bidi="ar"/>
        </w:rPr>
        <w:t>=</w:t>
      </w:r>
      <w:r>
        <w:rPr>
          <w:rFonts w:hint="eastAsia"/>
          <w:lang w:bidi="ar"/>
        </w:rPr>
        <w:t>（遴选基准价／供应商报价）</w:t>
      </w:r>
      <w:r>
        <w:rPr>
          <w:lang w:bidi="ar"/>
        </w:rPr>
        <w:t>×</w:t>
      </w:r>
      <w:r>
        <w:rPr>
          <w:rFonts w:hint="eastAsia"/>
          <w:lang w:bidi="ar"/>
        </w:rPr>
        <w:t>价格权值</w:t>
      </w:r>
      <w:r>
        <w:rPr>
          <w:lang w:bidi="ar"/>
        </w:rPr>
        <w:t>×100</w:t>
      </w:r>
    </w:p>
    <w:p w14:paraId="60F6DAED">
      <w:r>
        <w:rPr>
          <w:rFonts w:hint="eastAsia"/>
        </w:rPr>
        <w:t>备注：</w:t>
      </w:r>
    </w:p>
    <w:p w14:paraId="6A7B1132">
      <w:r>
        <w:rPr>
          <w:rFonts w:hint="eastAsia"/>
        </w:rPr>
        <w:t>潜在供应商可联系福建省质检院饶先生</w:t>
      </w:r>
      <w:r>
        <w:t xml:space="preserve"> 0591-83773129/13959195363进行实地勘探测量。</w:t>
      </w:r>
    </w:p>
    <w:p w14:paraId="14FB5D5D">
      <w:pPr>
        <w:rPr>
          <w:bCs/>
        </w:rPr>
      </w:pPr>
      <w:r>
        <w:rPr>
          <w:rFonts w:hint="eastAsia"/>
        </w:rPr>
        <w:t>（投标文件需提供</w:t>
      </w:r>
      <w:r>
        <w:t>营业执照</w:t>
      </w:r>
      <w:r>
        <w:rPr>
          <w:rFonts w:hint="eastAsia"/>
        </w:rPr>
        <w:t>等证明文件</w:t>
      </w:r>
      <w:r>
        <w:t>复印件、</w:t>
      </w:r>
      <w:r>
        <w:rPr>
          <w:rFonts w:hint="eastAsia"/>
        </w:rPr>
        <w:t>单位</w:t>
      </w:r>
      <w:r>
        <w:t>授权书、财务状况报告(财务报告或资信证明)、信用记录查询结果</w:t>
      </w:r>
      <w:r>
        <w:rPr>
          <w:rFonts w:hint="eastAsia"/>
        </w:rPr>
        <w:t>，</w:t>
      </w:r>
      <w:r>
        <w:t>缺一项即取消遴选资格</w:t>
      </w:r>
      <w:r>
        <w:rPr>
          <w:rFonts w:hint="eastAsia"/>
        </w:rPr>
        <w:t>）</w:t>
      </w:r>
    </w:p>
    <w:p w14:paraId="0A398883">
      <w:pPr>
        <w:ind w:firstLine="643"/>
      </w:pPr>
      <w:r>
        <w:rPr>
          <w:b/>
          <w:bCs/>
        </w:rPr>
        <w:t>营业执照等证明文件复印件</w:t>
      </w:r>
      <w:r>
        <w:t>：</w:t>
      </w:r>
      <w:r>
        <w:rPr>
          <w:rFonts w:hint="eastAsia"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C36C741">
      <w:pPr>
        <w:ind w:firstLine="643"/>
      </w:pPr>
      <w:r>
        <w:rPr>
          <w:b/>
          <w:bCs/>
        </w:rPr>
        <w:t>单位授权书：</w:t>
      </w:r>
      <w:r>
        <w:rPr>
          <w:rFonts w:hint="eastAsia"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cs="宋体"/>
        </w:rPr>
        <w:t>②</w:t>
      </w:r>
      <w:r>
        <w:t xml:space="preserve">投标人为自然人的，可不填写本授权书。 </w:t>
      </w:r>
    </w:p>
    <w:p w14:paraId="3C86F543">
      <w:pPr>
        <w:ind w:firstLine="643"/>
      </w:pPr>
      <w:r>
        <w:rPr>
          <w:b/>
          <w:bCs/>
        </w:rPr>
        <w:t>财务状况报告：</w:t>
      </w:r>
      <w:r>
        <w:rPr>
          <w:rFonts w:hint="eastAsia" w:cs="宋体"/>
        </w:rPr>
        <w:t>①</w:t>
      </w:r>
      <w: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14:paraId="207BCD5B">
      <w:pPr>
        <w:ind w:firstLine="643"/>
      </w:pPr>
      <w:r>
        <w:rPr>
          <w:b/>
          <w:bCs/>
        </w:rPr>
        <w:t>信用记录查询结果：</w:t>
      </w:r>
      <w:r>
        <w:rPr>
          <w:rFonts w:hint="eastAsia" w:cs="宋体"/>
        </w:rPr>
        <w:t>①</w:t>
      </w:r>
      <w:r>
        <w:t xml:space="preserve">信用记录查询的截止时点：信用记录查询的截止时点为本项目投标截止当日。 </w:t>
      </w:r>
      <w:r>
        <w:rPr>
          <w:rFonts w:hint="eastAsia" w:cs="宋体"/>
        </w:rPr>
        <w:t>②</w:t>
      </w:r>
      <w:r>
        <w:t xml:space="preserve">信用记录查询渠道：信用中国 （www.creditchina.gov.cn）、中国政府采购网 （www.ccgp.gov.cn）。 </w:t>
      </w:r>
      <w:r>
        <w:rPr>
          <w:rFonts w:hint="eastAsia" w:cs="宋体"/>
        </w:rPr>
        <w:t>③</w:t>
      </w:r>
      <w:r>
        <w:t xml:space="preserve">信用记录的查询：由资格审查小组 通过上述网站查询并打印投标人的信用记录。 </w:t>
      </w:r>
      <w:r>
        <w:rPr>
          <w:rFonts w:hint="eastAsia"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A81BADE">
      <w:r>
        <w:t xml:space="preserve"> </w:t>
      </w:r>
    </w:p>
    <w:p w14:paraId="1AB1AEEE">
      <w:r>
        <w:rPr>
          <w:rFonts w:hint="eastAsia"/>
        </w:rPr>
        <w:t>评分标准</w:t>
      </w:r>
    </w:p>
    <w:p w14:paraId="135D02E2">
      <w:r>
        <w:rPr>
          <w:rFonts w:hint="eastAsia"/>
        </w:rPr>
        <w:t>技术部分为</w:t>
      </w:r>
      <w:r>
        <w:t>F1</w:t>
      </w:r>
      <w:r>
        <w:rPr>
          <w:rFonts w:hint="eastAsia"/>
        </w:rPr>
        <w:t>、商务部分为</w:t>
      </w:r>
      <w:r>
        <w:t>F2</w:t>
      </w:r>
      <w:r>
        <w:rPr>
          <w:rFonts w:hint="eastAsia"/>
        </w:rPr>
        <w:t>、价格部分为</w:t>
      </w:r>
      <w:r>
        <w:t>F3</w:t>
      </w:r>
    </w:p>
    <w:p w14:paraId="793BD74E">
      <w:pPr>
        <w:rPr>
          <w:lang w:bidi="ar"/>
        </w:rPr>
      </w:pPr>
      <w:r>
        <w:rPr>
          <w:rFonts w:hint="eastAsia"/>
          <w:lang w:bidi="ar"/>
        </w:rPr>
        <w:t>本遴选项目满分为</w:t>
      </w:r>
      <w:r>
        <w:rPr>
          <w:lang w:bidi="ar"/>
        </w:rPr>
        <w:t>100</w:t>
      </w:r>
      <w:r>
        <w:rPr>
          <w:rFonts w:hint="eastAsia"/>
          <w:lang w:bidi="ar"/>
        </w:rPr>
        <w:t>分。各投标人的总评分</w:t>
      </w:r>
      <w:r>
        <w:rPr>
          <w:lang w:bidi="ar"/>
        </w:rPr>
        <w:t>=F1+F2+F3</w:t>
      </w:r>
      <w:r>
        <w:rPr>
          <w:rFonts w:hint="eastAsia"/>
          <w:lang w:bidi="ar"/>
        </w:rPr>
        <w:t>，其中技术分</w:t>
      </w:r>
      <w:r>
        <w:rPr>
          <w:lang w:bidi="ar"/>
        </w:rPr>
        <w:t>F1</w:t>
      </w:r>
      <w:r>
        <w:rPr>
          <w:rFonts w:hint="eastAsia"/>
          <w:lang w:bidi="ar"/>
        </w:rPr>
        <w:t>为</w:t>
      </w:r>
      <w:r>
        <w:rPr>
          <w:lang w:bidi="ar"/>
        </w:rPr>
        <w:t>60</w:t>
      </w:r>
      <w:r>
        <w:rPr>
          <w:rFonts w:hint="eastAsia"/>
          <w:lang w:bidi="ar"/>
        </w:rPr>
        <w:t>分</w:t>
      </w:r>
      <w:r>
        <w:rPr>
          <w:lang w:bidi="ar"/>
        </w:rPr>
        <w:t>,</w:t>
      </w:r>
      <w:r>
        <w:rPr>
          <w:rFonts w:hint="eastAsia"/>
          <w:lang w:bidi="ar"/>
        </w:rPr>
        <w:t>商务分</w:t>
      </w:r>
      <w:r>
        <w:rPr>
          <w:lang w:bidi="ar"/>
        </w:rPr>
        <w:t>F2</w:t>
      </w:r>
      <w:r>
        <w:rPr>
          <w:rFonts w:hint="eastAsia"/>
          <w:lang w:bidi="ar"/>
        </w:rPr>
        <w:t>为</w:t>
      </w:r>
      <w:r>
        <w:rPr>
          <w:lang w:bidi="ar"/>
        </w:rPr>
        <w:t>30</w:t>
      </w:r>
      <w:r>
        <w:rPr>
          <w:rFonts w:hint="eastAsia"/>
          <w:lang w:bidi="ar"/>
        </w:rPr>
        <w:t>分，价格分</w:t>
      </w:r>
      <w:r>
        <w:rPr>
          <w:lang w:bidi="ar"/>
        </w:rPr>
        <w:t>F3</w:t>
      </w:r>
      <w:r>
        <w:rPr>
          <w:rFonts w:hint="eastAsia"/>
          <w:lang w:bidi="ar"/>
        </w:rPr>
        <w:t>为</w:t>
      </w:r>
      <w:r>
        <w:rPr>
          <w:lang w:bidi="ar"/>
        </w:rPr>
        <w:t>10</w:t>
      </w:r>
      <w:r>
        <w:rPr>
          <w:rFonts w:hint="eastAsia"/>
          <w:lang w:bidi="ar"/>
        </w:rPr>
        <w:t>分。各投标人的总评分=F1+F2+F3。价格取供应商各产品单价的合计总价做比较，价格分采用低价优先法计算，即满足遴选文件要求且最后报价最低的供应商的价格为遴选基准价，其价格分为满分。其他供应商的价格分统一按照下列公式计算：遴选报价得分</w:t>
      </w:r>
      <w:r>
        <w:rPr>
          <w:lang w:bidi="ar"/>
        </w:rPr>
        <w:t>=</w:t>
      </w:r>
      <w:r>
        <w:rPr>
          <w:rFonts w:hint="eastAsia"/>
          <w:lang w:bidi="ar"/>
        </w:rPr>
        <w:t>（遴选基准价／供应商报价）</w:t>
      </w:r>
      <w:r>
        <w:rPr>
          <w:lang w:bidi="ar"/>
        </w:rPr>
        <w:t>×</w:t>
      </w:r>
      <w:r>
        <w:rPr>
          <w:rFonts w:hint="eastAsia"/>
          <w:lang w:bidi="ar"/>
        </w:rPr>
        <w:t>价格权值</w:t>
      </w:r>
      <w:r>
        <w:rPr>
          <w:lang w:bidi="ar"/>
        </w:rPr>
        <w:t>×100</w:t>
      </w:r>
    </w:p>
    <w:p w14:paraId="3C400D16">
      <w:pPr>
        <w:rPr>
          <w:lang w:bidi="ar"/>
        </w:rPr>
      </w:pPr>
      <w:r>
        <w:rPr>
          <w:rFonts w:hint="eastAsia"/>
          <w:lang w:bidi="ar"/>
        </w:rPr>
        <w:t>各评委取各自总评分最高者作为推荐中标合作供应商，最后中标供应商以评委组投票数最高者最终确认。</w:t>
      </w:r>
    </w:p>
    <w:p w14:paraId="542A0D98"/>
    <w:sectPr>
      <w:pgSz w:w="11906" w:h="16838"/>
      <w:pgMar w:top="1928" w:right="1588" w:bottom="192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E4132"/>
    <w:multiLevelType w:val="multilevel"/>
    <w:tmpl w:val="11CE4132"/>
    <w:lvl w:ilvl="0" w:tentative="0">
      <w:start w:val="1"/>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80A0DB"/>
    <w:multiLevelType w:val="singleLevel"/>
    <w:tmpl w:val="4180A0D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172A27"/>
    <w:rsid w:val="00003E81"/>
    <w:rsid w:val="00005419"/>
    <w:rsid w:val="0005078F"/>
    <w:rsid w:val="00060F63"/>
    <w:rsid w:val="00080BD3"/>
    <w:rsid w:val="00094459"/>
    <w:rsid w:val="000A65EB"/>
    <w:rsid w:val="00102DB2"/>
    <w:rsid w:val="00143E63"/>
    <w:rsid w:val="0016237C"/>
    <w:rsid w:val="00172A27"/>
    <w:rsid w:val="00182A58"/>
    <w:rsid w:val="001B1D56"/>
    <w:rsid w:val="001F2E73"/>
    <w:rsid w:val="00207FBB"/>
    <w:rsid w:val="00265A28"/>
    <w:rsid w:val="00267D94"/>
    <w:rsid w:val="002A484E"/>
    <w:rsid w:val="002D3A53"/>
    <w:rsid w:val="002E7BBF"/>
    <w:rsid w:val="00302BD1"/>
    <w:rsid w:val="00310CE1"/>
    <w:rsid w:val="00326885"/>
    <w:rsid w:val="00333C3B"/>
    <w:rsid w:val="00337701"/>
    <w:rsid w:val="00394152"/>
    <w:rsid w:val="003D2570"/>
    <w:rsid w:val="003F2551"/>
    <w:rsid w:val="00461637"/>
    <w:rsid w:val="0046632C"/>
    <w:rsid w:val="004955C1"/>
    <w:rsid w:val="004A372E"/>
    <w:rsid w:val="004C5AD8"/>
    <w:rsid w:val="004E4DA7"/>
    <w:rsid w:val="00500263"/>
    <w:rsid w:val="00534279"/>
    <w:rsid w:val="00551D75"/>
    <w:rsid w:val="0058751A"/>
    <w:rsid w:val="005D2D6F"/>
    <w:rsid w:val="00672A77"/>
    <w:rsid w:val="00741D74"/>
    <w:rsid w:val="007865F5"/>
    <w:rsid w:val="007872E0"/>
    <w:rsid w:val="00797825"/>
    <w:rsid w:val="007A47B3"/>
    <w:rsid w:val="007C181E"/>
    <w:rsid w:val="00820F53"/>
    <w:rsid w:val="00881DC6"/>
    <w:rsid w:val="008A2210"/>
    <w:rsid w:val="008F32B9"/>
    <w:rsid w:val="00936584"/>
    <w:rsid w:val="009F7883"/>
    <w:rsid w:val="00A105CB"/>
    <w:rsid w:val="00A15C01"/>
    <w:rsid w:val="00A15D2B"/>
    <w:rsid w:val="00A570DF"/>
    <w:rsid w:val="00AC449E"/>
    <w:rsid w:val="00AD1581"/>
    <w:rsid w:val="00AF0C14"/>
    <w:rsid w:val="00B55E45"/>
    <w:rsid w:val="00BC011E"/>
    <w:rsid w:val="00BD3230"/>
    <w:rsid w:val="00BE325D"/>
    <w:rsid w:val="00BE622D"/>
    <w:rsid w:val="00BF7842"/>
    <w:rsid w:val="00C05B55"/>
    <w:rsid w:val="00C80C88"/>
    <w:rsid w:val="00C86F8B"/>
    <w:rsid w:val="00D246C9"/>
    <w:rsid w:val="00D679DA"/>
    <w:rsid w:val="00DA1871"/>
    <w:rsid w:val="00DC21AB"/>
    <w:rsid w:val="00DD14E1"/>
    <w:rsid w:val="00E86B58"/>
    <w:rsid w:val="00E9356F"/>
    <w:rsid w:val="00EE0E44"/>
    <w:rsid w:val="00F03D8B"/>
    <w:rsid w:val="00F15411"/>
    <w:rsid w:val="00F5446A"/>
    <w:rsid w:val="00F559AF"/>
    <w:rsid w:val="00F960C4"/>
    <w:rsid w:val="00FB5713"/>
    <w:rsid w:val="01CB297C"/>
    <w:rsid w:val="06C638E3"/>
    <w:rsid w:val="0A7D08EF"/>
    <w:rsid w:val="0BF321CC"/>
    <w:rsid w:val="0C5A18DE"/>
    <w:rsid w:val="0EBE1DF1"/>
    <w:rsid w:val="0FC84B6A"/>
    <w:rsid w:val="110414F5"/>
    <w:rsid w:val="11A67F1D"/>
    <w:rsid w:val="138E0413"/>
    <w:rsid w:val="139E2979"/>
    <w:rsid w:val="141F23CC"/>
    <w:rsid w:val="178A7F7B"/>
    <w:rsid w:val="18B53886"/>
    <w:rsid w:val="1A087326"/>
    <w:rsid w:val="1B255BD0"/>
    <w:rsid w:val="1ECF7D63"/>
    <w:rsid w:val="215D2DC3"/>
    <w:rsid w:val="225E0E38"/>
    <w:rsid w:val="22A21616"/>
    <w:rsid w:val="23FF7476"/>
    <w:rsid w:val="25404F7A"/>
    <w:rsid w:val="26446337"/>
    <w:rsid w:val="28F96979"/>
    <w:rsid w:val="2C695F59"/>
    <w:rsid w:val="2C9129A5"/>
    <w:rsid w:val="2EDC2CF9"/>
    <w:rsid w:val="337221BD"/>
    <w:rsid w:val="38665C15"/>
    <w:rsid w:val="38C8511B"/>
    <w:rsid w:val="3A431329"/>
    <w:rsid w:val="3E9D3EF0"/>
    <w:rsid w:val="3F726556"/>
    <w:rsid w:val="47F00E85"/>
    <w:rsid w:val="4A4B039E"/>
    <w:rsid w:val="4A7F29C9"/>
    <w:rsid w:val="4ABD43D0"/>
    <w:rsid w:val="4EA4073F"/>
    <w:rsid w:val="535C6E92"/>
    <w:rsid w:val="55F1744D"/>
    <w:rsid w:val="5B743E4F"/>
    <w:rsid w:val="5C8E79B5"/>
    <w:rsid w:val="5F764B7B"/>
    <w:rsid w:val="60494F5F"/>
    <w:rsid w:val="60FB7B42"/>
    <w:rsid w:val="68B732C1"/>
    <w:rsid w:val="6ADD08B6"/>
    <w:rsid w:val="6B834DB8"/>
    <w:rsid w:val="74116287"/>
    <w:rsid w:val="743069A4"/>
    <w:rsid w:val="761855A7"/>
    <w:rsid w:val="77347DE5"/>
    <w:rsid w:val="77B252CF"/>
    <w:rsid w:val="7AAD3D95"/>
    <w:rsid w:val="7B0D52CF"/>
    <w:rsid w:val="7BA448B7"/>
    <w:rsid w:val="7DA62C8D"/>
    <w:rsid w:val="7F1072DF"/>
    <w:rsid w:val="7FF23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ind w:firstLine="640" w:firstLineChars="200"/>
    </w:pPr>
    <w:rPr>
      <w:rFonts w:ascii="仿宋" w:hAnsi="仿宋" w:eastAsia="仿宋" w:cs="Times New Roman"/>
      <w:color w:val="000000"/>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16"/>
    <w:qFormat/>
    <w:uiPriority w:val="0"/>
    <w:pPr>
      <w:tabs>
        <w:tab w:val="center" w:pos="4153"/>
        <w:tab w:val="right" w:pos="8306"/>
      </w:tabs>
      <w:snapToGrid w:val="0"/>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font21"/>
    <w:basedOn w:val="7"/>
    <w:autoRedefine/>
    <w:qFormat/>
    <w:uiPriority w:val="0"/>
    <w:rPr>
      <w:rFonts w:hint="eastAsia" w:ascii="宋体" w:hAnsi="宋体" w:eastAsia="宋体" w:cs="宋体"/>
      <w:color w:val="000000"/>
      <w:sz w:val="20"/>
      <w:szCs w:val="20"/>
      <w:u w:val="none"/>
    </w:rPr>
  </w:style>
  <w:style w:type="character" w:customStyle="1" w:styleId="9">
    <w:name w:val="font41"/>
    <w:basedOn w:val="7"/>
    <w:autoRedefine/>
    <w:qFormat/>
    <w:uiPriority w:val="0"/>
    <w:rPr>
      <w:rFonts w:hint="default" w:ascii="Times New Roman" w:hAnsi="Times New Roman" w:cs="Times New Roman"/>
      <w:color w:val="000000"/>
      <w:sz w:val="20"/>
      <w:szCs w:val="20"/>
      <w:u w:val="none"/>
    </w:rPr>
  </w:style>
  <w:style w:type="character" w:customStyle="1" w:styleId="10">
    <w:name w:val="批注框文本 字符"/>
    <w:basedOn w:val="7"/>
    <w:link w:val="2"/>
    <w:autoRedefine/>
    <w:qFormat/>
    <w:uiPriority w:val="0"/>
    <w:rPr>
      <w:rFonts w:asciiTheme="minorHAnsi" w:hAnsiTheme="minorHAnsi" w:eastAsiaTheme="minorEastAsia" w:cstheme="minorBidi"/>
      <w:kern w:val="2"/>
      <w:sz w:val="18"/>
      <w:szCs w:val="18"/>
    </w:rPr>
  </w:style>
  <w:style w:type="character" w:customStyle="1" w:styleId="11">
    <w:name w:val="font31"/>
    <w:basedOn w:val="7"/>
    <w:autoRedefine/>
    <w:qFormat/>
    <w:uiPriority w:val="0"/>
    <w:rPr>
      <w:rFonts w:hint="default" w:ascii="Times New Roman" w:hAnsi="Times New Roman" w:cs="Times New Roman"/>
      <w:color w:val="000000"/>
      <w:sz w:val="20"/>
      <w:szCs w:val="20"/>
      <w:u w:val="none"/>
    </w:rPr>
  </w:style>
  <w:style w:type="character" w:customStyle="1" w:styleId="12">
    <w:name w:val="font51"/>
    <w:basedOn w:val="7"/>
    <w:autoRedefine/>
    <w:qFormat/>
    <w:uiPriority w:val="0"/>
    <w:rPr>
      <w:rFonts w:hint="default" w:ascii="Times New Roman" w:hAnsi="Times New Roman" w:cs="Times New Roman"/>
      <w:color w:val="000000"/>
      <w:sz w:val="20"/>
      <w:szCs w:val="20"/>
      <w:u w:val="none"/>
    </w:rPr>
  </w:style>
  <w:style w:type="character" w:customStyle="1" w:styleId="13">
    <w:name w:val="font61"/>
    <w:basedOn w:val="7"/>
    <w:autoRedefine/>
    <w:qFormat/>
    <w:uiPriority w:val="0"/>
    <w:rPr>
      <w:rFonts w:hint="default" w:ascii="Times New Roman" w:hAnsi="Times New Roman" w:cs="Times New Roman"/>
      <w:color w:val="000000"/>
      <w:sz w:val="20"/>
      <w:szCs w:val="20"/>
      <w:u w:val="none"/>
      <w:vertAlign w:val="subscript"/>
    </w:rPr>
  </w:style>
  <w:style w:type="character" w:customStyle="1" w:styleId="14">
    <w:name w:val="font11"/>
    <w:basedOn w:val="7"/>
    <w:qFormat/>
    <w:uiPriority w:val="0"/>
    <w:rPr>
      <w:rFonts w:hint="eastAsia" w:ascii="宋体" w:hAnsi="宋体" w:eastAsia="宋体" w:cs="宋体"/>
      <w:color w:val="000000"/>
      <w:sz w:val="24"/>
      <w:szCs w:val="24"/>
      <w:u w:val="none"/>
    </w:rPr>
  </w:style>
  <w:style w:type="character" w:customStyle="1" w:styleId="15">
    <w:name w:val="页眉 字符"/>
    <w:basedOn w:val="7"/>
    <w:link w:val="4"/>
    <w:qFormat/>
    <w:uiPriority w:val="0"/>
    <w:rPr>
      <w:rFonts w:asciiTheme="minorHAnsi" w:hAnsiTheme="minorHAnsi" w:eastAsiaTheme="minorEastAsia" w:cstheme="minorBidi"/>
      <w:kern w:val="2"/>
      <w:sz w:val="18"/>
      <w:szCs w:val="18"/>
    </w:rPr>
  </w:style>
  <w:style w:type="character" w:customStyle="1" w:styleId="16">
    <w:name w:val="页脚 字符"/>
    <w:basedOn w:val="7"/>
    <w:link w:val="3"/>
    <w:qFormat/>
    <w:uiPriority w:val="0"/>
    <w:rPr>
      <w:rFonts w:asciiTheme="minorHAnsi" w:hAnsiTheme="minorHAnsi" w:eastAsiaTheme="minorEastAsia" w:cstheme="minorBidi"/>
      <w:kern w:val="2"/>
      <w:sz w:val="18"/>
      <w:szCs w:val="18"/>
    </w:rPr>
  </w:style>
  <w:style w:type="paragraph" w:customStyle="1" w:styleId="17">
    <w:name w:val="null3"/>
    <w:autoRedefine/>
    <w:hidden/>
    <w:qFormat/>
    <w:uiPriority w:val="0"/>
    <w:pPr>
      <w:jc w:val="center"/>
    </w:pPr>
    <w:rPr>
      <w:rFonts w:hint="eastAsia" w:asciiTheme="minorHAnsi" w:hAnsiTheme="minorHAnsi" w:eastAsiaTheme="minorEastAsia" w:cstheme="minorBidi"/>
      <w:lang w:val="en-US" w:eastAsia="zh-Hans" w:bidi="ar-SA"/>
    </w:rPr>
  </w:style>
  <w:style w:type="paragraph" w:styleId="1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3827</Words>
  <Characters>4024</Characters>
  <Lines>30</Lines>
  <Paragraphs>8</Paragraphs>
  <TotalTime>65</TotalTime>
  <ScaleCrop>false</ScaleCrop>
  <LinksUpToDate>false</LinksUpToDate>
  <CharactersWithSpaces>4128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2025-10-09T06:11:00Z</dcterms:created>
  <dc:creator>bgs</dc:creator>
  <cp:lastModifiedBy>游弋</cp:lastModifiedBy>
  <cp:lastPrinted>2025-09-28T01:26:00Z</cp:lastPrinted>
  <dcterms:modified xsi:type="dcterms:W3CDTF">2025-10-10T07:28:32Z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6EB0E72DC72B44E49AB08A6FDF4ED674_13</vt:lpwstr>
  </property>
  <property fmtid="{D5CDD505-2E9C-101B-9397-08002B2CF9AE}" pid="4" name="KSOTemplateDocerSaveRecord">
    <vt:lpwstr>eyJoZGlkIjoiMzg0OTBkN2MxNDNjODE1MjE4MmRlNGZhZjFhNWQ3MmYiLCJ1c2VySWQiOiI0MjMwMTExNTYifQ==</vt:lpwstr>
  </property>
</Properties>
</file>