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BF4645">
      <w:pPr>
        <w:pStyle w:val="14"/>
        <w:spacing w:line="360" w:lineRule="auto"/>
        <w:jc w:val="center"/>
        <w:outlineLvl w:val="0"/>
        <w:rPr>
          <w:rFonts w:hint="default" w:ascii="宋体" w:hAnsi="宋体" w:eastAsia="宋体" w:cs="宋体"/>
          <w:b/>
          <w:sz w:val="60"/>
          <w:szCs w:val="24"/>
        </w:rPr>
      </w:pPr>
    </w:p>
    <w:p w14:paraId="4DB259BE">
      <w:pPr>
        <w:pStyle w:val="14"/>
        <w:spacing w:line="360" w:lineRule="auto"/>
        <w:jc w:val="center"/>
        <w:outlineLvl w:val="0"/>
        <w:rPr>
          <w:rFonts w:hint="default" w:ascii="宋体" w:hAnsi="宋体" w:eastAsia="宋体" w:cs="宋体"/>
          <w:sz w:val="24"/>
          <w:szCs w:val="24"/>
        </w:rPr>
      </w:pPr>
      <w:r>
        <w:rPr>
          <w:rFonts w:ascii="宋体" w:hAnsi="宋体" w:eastAsia="宋体" w:cs="宋体"/>
          <w:b/>
          <w:sz w:val="60"/>
          <w:szCs w:val="24"/>
        </w:rPr>
        <w:t>福建省政府采购</w:t>
      </w:r>
    </w:p>
    <w:p w14:paraId="41B81A39">
      <w:pPr>
        <w:pStyle w:val="14"/>
        <w:spacing w:line="360" w:lineRule="auto"/>
        <w:jc w:val="center"/>
        <w:outlineLvl w:val="0"/>
        <w:rPr>
          <w:rFonts w:hint="default" w:ascii="宋体" w:hAnsi="宋体" w:eastAsia="宋体" w:cs="宋体"/>
          <w:sz w:val="24"/>
          <w:szCs w:val="24"/>
        </w:rPr>
      </w:pPr>
      <w:r>
        <w:rPr>
          <w:rFonts w:ascii="宋体" w:hAnsi="宋体" w:eastAsia="宋体" w:cs="宋体"/>
          <w:b/>
          <w:sz w:val="60"/>
          <w:szCs w:val="24"/>
        </w:rPr>
        <w:t>货物和服务项目</w:t>
      </w:r>
    </w:p>
    <w:p w14:paraId="43EEB7EC">
      <w:pPr>
        <w:pStyle w:val="14"/>
        <w:spacing w:line="360" w:lineRule="auto"/>
        <w:jc w:val="center"/>
        <w:outlineLvl w:val="0"/>
        <w:rPr>
          <w:rFonts w:hint="default" w:ascii="宋体" w:hAnsi="宋体" w:eastAsia="宋体" w:cs="宋体"/>
          <w:sz w:val="24"/>
          <w:szCs w:val="24"/>
        </w:rPr>
      </w:pPr>
      <w:r>
        <w:rPr>
          <w:rFonts w:ascii="宋体" w:hAnsi="宋体" w:eastAsia="宋体" w:cs="宋体"/>
          <w:b/>
          <w:sz w:val="60"/>
          <w:szCs w:val="24"/>
        </w:rPr>
        <w:t>公开招标文件</w:t>
      </w:r>
    </w:p>
    <w:p w14:paraId="1AA2C2BB">
      <w:pPr>
        <w:pStyle w:val="14"/>
        <w:spacing w:line="360" w:lineRule="auto"/>
        <w:jc w:val="center"/>
        <w:outlineLvl w:val="0"/>
        <w:rPr>
          <w:rFonts w:hint="eastAsia" w:ascii="宋体" w:hAnsi="宋体" w:eastAsia="宋体" w:cs="宋体"/>
          <w:b/>
          <w:sz w:val="60"/>
          <w:szCs w:val="24"/>
          <w:lang w:eastAsia="zh-CN"/>
        </w:rPr>
      </w:pPr>
      <w:r>
        <w:rPr>
          <w:rFonts w:hint="eastAsia" w:ascii="宋体" w:hAnsi="宋体" w:eastAsia="宋体" w:cs="宋体"/>
          <w:b/>
          <w:sz w:val="60"/>
          <w:szCs w:val="24"/>
          <w:lang w:eastAsia="zh-CN"/>
        </w:rPr>
        <w:t>（</w:t>
      </w:r>
      <w:r>
        <w:rPr>
          <w:rFonts w:hint="eastAsia" w:ascii="宋体" w:hAnsi="宋体" w:eastAsia="宋体" w:cs="宋体"/>
          <w:b/>
          <w:sz w:val="60"/>
          <w:szCs w:val="24"/>
          <w:lang w:val="en-US" w:eastAsia="zh-CN"/>
        </w:rPr>
        <w:t>预公告稿</w:t>
      </w:r>
      <w:r>
        <w:rPr>
          <w:rFonts w:hint="eastAsia" w:ascii="宋体" w:hAnsi="宋体" w:eastAsia="宋体" w:cs="宋体"/>
          <w:b/>
          <w:sz w:val="60"/>
          <w:szCs w:val="24"/>
          <w:lang w:eastAsia="zh-CN"/>
        </w:rPr>
        <w:t>）</w:t>
      </w:r>
    </w:p>
    <w:p w14:paraId="3BC9EF8B">
      <w:pPr>
        <w:pStyle w:val="14"/>
        <w:jc w:val="center"/>
        <w:outlineLvl w:val="2"/>
        <w:rPr>
          <w:rFonts w:hint="default" w:ascii="宋体" w:hAnsi="宋体" w:eastAsia="宋体" w:cs="宋体"/>
          <w:b/>
          <w:sz w:val="28"/>
        </w:rPr>
      </w:pPr>
    </w:p>
    <w:p w14:paraId="3FDD3E80">
      <w:pPr>
        <w:pStyle w:val="14"/>
        <w:jc w:val="center"/>
        <w:outlineLvl w:val="2"/>
        <w:rPr>
          <w:rFonts w:hint="default" w:ascii="宋体" w:hAnsi="宋体" w:eastAsia="宋体" w:cs="宋体"/>
          <w:b/>
          <w:sz w:val="32"/>
          <w:szCs w:val="21"/>
        </w:rPr>
      </w:pPr>
    </w:p>
    <w:p w14:paraId="08105F6D">
      <w:pPr>
        <w:pStyle w:val="14"/>
        <w:jc w:val="center"/>
        <w:outlineLvl w:val="2"/>
        <w:rPr>
          <w:rFonts w:ascii="宋体" w:hAnsi="宋体" w:eastAsia="宋体" w:cs="宋体"/>
          <w:b/>
          <w:sz w:val="28"/>
          <w:lang w:eastAsia="zh-CN"/>
        </w:rPr>
      </w:pPr>
      <w:r>
        <w:rPr>
          <w:rFonts w:ascii="宋体" w:hAnsi="宋体" w:eastAsia="宋体" w:cs="宋体"/>
          <w:b/>
          <w:sz w:val="28"/>
        </w:rPr>
        <w:t>项目名称：</w:t>
      </w:r>
      <w:r>
        <w:rPr>
          <w:rFonts w:ascii="宋体" w:hAnsi="宋体" w:eastAsia="宋体" w:cs="宋体"/>
          <w:b/>
          <w:sz w:val="28"/>
          <w:lang w:eastAsia="zh-CN"/>
        </w:rPr>
        <w:t>福建省产品质量检验研究院大功率直流充电桩测试系统等</w:t>
      </w:r>
    </w:p>
    <w:p w14:paraId="5C4E03EA">
      <w:pPr>
        <w:pStyle w:val="14"/>
        <w:jc w:val="center"/>
        <w:outlineLvl w:val="2"/>
        <w:rPr>
          <w:rFonts w:hint="default" w:ascii="宋体" w:hAnsi="宋体" w:eastAsia="宋体" w:cs="宋体"/>
          <w:b/>
          <w:sz w:val="28"/>
          <w:lang w:eastAsia="zh-CN"/>
        </w:rPr>
      </w:pPr>
      <w:r>
        <w:rPr>
          <w:rFonts w:ascii="宋体" w:hAnsi="宋体" w:eastAsia="宋体" w:cs="宋体"/>
          <w:b/>
          <w:sz w:val="28"/>
          <w:lang w:eastAsia="zh-CN"/>
        </w:rPr>
        <w:t>试验设备采购项目</w:t>
      </w:r>
    </w:p>
    <w:p w14:paraId="16311AE2">
      <w:pPr>
        <w:pStyle w:val="14"/>
        <w:jc w:val="center"/>
        <w:outlineLvl w:val="2"/>
        <w:rPr>
          <w:rFonts w:hint="default" w:ascii="宋体" w:hAnsi="宋体" w:eastAsia="宋体" w:cs="宋体"/>
          <w:b/>
          <w:sz w:val="28"/>
          <w:u w:val="single"/>
          <w:lang w:eastAsia="zh-CN"/>
        </w:rPr>
      </w:pPr>
      <w:r>
        <w:rPr>
          <w:rFonts w:ascii="宋体" w:hAnsi="宋体" w:eastAsia="宋体" w:cs="宋体"/>
          <w:b/>
          <w:sz w:val="28"/>
        </w:rPr>
        <w:t>备案编号：</w:t>
      </w:r>
    </w:p>
    <w:p w14:paraId="09529D17">
      <w:pPr>
        <w:pStyle w:val="14"/>
        <w:jc w:val="center"/>
        <w:outlineLvl w:val="2"/>
        <w:rPr>
          <w:rFonts w:hint="default" w:ascii="宋体" w:hAnsi="宋体" w:eastAsia="宋体" w:cs="宋体"/>
          <w:lang w:eastAsia="zh-CN"/>
        </w:rPr>
      </w:pPr>
      <w:r>
        <w:rPr>
          <w:rFonts w:ascii="宋体" w:hAnsi="宋体" w:eastAsia="宋体" w:cs="宋体"/>
          <w:b/>
          <w:sz w:val="28"/>
        </w:rPr>
        <w:t>项目编号：</w:t>
      </w:r>
    </w:p>
    <w:p w14:paraId="6D010C5A">
      <w:pPr>
        <w:pStyle w:val="14"/>
        <w:jc w:val="center"/>
        <w:outlineLvl w:val="2"/>
        <w:rPr>
          <w:rFonts w:hint="default" w:ascii="宋体" w:hAnsi="宋体" w:eastAsia="宋体" w:cs="宋体"/>
        </w:rPr>
      </w:pPr>
      <w:r>
        <w:rPr>
          <w:rFonts w:ascii="宋体" w:hAnsi="宋体" w:eastAsia="宋体" w:cs="宋体"/>
          <w:b/>
          <w:sz w:val="28"/>
        </w:rPr>
        <w:t>采购人：福建省产品质量检验研究院</w:t>
      </w:r>
    </w:p>
    <w:p w14:paraId="69E6C51D">
      <w:pPr>
        <w:pStyle w:val="14"/>
        <w:jc w:val="center"/>
        <w:outlineLvl w:val="2"/>
        <w:rPr>
          <w:rFonts w:hint="default" w:ascii="宋体" w:hAnsi="宋体" w:eastAsia="宋体" w:cs="宋体"/>
          <w:b/>
          <w:sz w:val="28"/>
        </w:rPr>
      </w:pPr>
    </w:p>
    <w:p w14:paraId="0C517725">
      <w:pPr>
        <w:pStyle w:val="14"/>
        <w:jc w:val="center"/>
        <w:outlineLvl w:val="2"/>
        <w:rPr>
          <w:rFonts w:hint="default" w:ascii="宋体" w:hAnsi="宋体" w:eastAsia="宋体" w:cs="宋体"/>
          <w:b/>
          <w:sz w:val="28"/>
        </w:rPr>
      </w:pPr>
    </w:p>
    <w:p w14:paraId="2796CFC0">
      <w:pPr>
        <w:pStyle w:val="14"/>
        <w:jc w:val="center"/>
        <w:outlineLvl w:val="2"/>
        <w:rPr>
          <w:rFonts w:hint="default" w:ascii="宋体" w:hAnsi="宋体" w:eastAsia="宋体" w:cs="宋体"/>
          <w:b/>
          <w:sz w:val="28"/>
        </w:rPr>
      </w:pPr>
    </w:p>
    <w:p w14:paraId="4164A735">
      <w:pPr>
        <w:pStyle w:val="14"/>
        <w:jc w:val="center"/>
        <w:outlineLvl w:val="2"/>
        <w:rPr>
          <w:rFonts w:hint="default" w:ascii="宋体" w:hAnsi="宋体" w:eastAsia="宋体" w:cs="宋体"/>
          <w:b/>
          <w:sz w:val="28"/>
        </w:rPr>
      </w:pPr>
    </w:p>
    <w:p w14:paraId="1B4DA032">
      <w:pPr>
        <w:pStyle w:val="14"/>
        <w:jc w:val="center"/>
        <w:outlineLvl w:val="2"/>
        <w:rPr>
          <w:rFonts w:hint="default" w:ascii="宋体" w:hAnsi="宋体" w:eastAsia="宋体" w:cs="宋体"/>
          <w:b/>
          <w:sz w:val="28"/>
        </w:rPr>
      </w:pPr>
    </w:p>
    <w:p w14:paraId="3BADD120">
      <w:pPr>
        <w:pStyle w:val="14"/>
        <w:jc w:val="center"/>
        <w:outlineLvl w:val="2"/>
        <w:rPr>
          <w:rFonts w:hint="default" w:ascii="宋体" w:hAnsi="宋体" w:eastAsia="宋体" w:cs="宋体"/>
        </w:rPr>
      </w:pPr>
      <w:r>
        <w:rPr>
          <w:rFonts w:ascii="宋体" w:hAnsi="宋体" w:eastAsia="宋体" w:cs="宋体"/>
          <w:b/>
          <w:sz w:val="28"/>
        </w:rPr>
        <w:t>代理机构：福建省中凯招标代理有限公司</w:t>
      </w:r>
    </w:p>
    <w:p w14:paraId="7E9EC30C">
      <w:pPr>
        <w:pStyle w:val="14"/>
        <w:jc w:val="center"/>
        <w:outlineLvl w:val="2"/>
        <w:rPr>
          <w:rFonts w:hint="default" w:ascii="宋体" w:hAnsi="宋体" w:eastAsia="宋体" w:cs="宋体"/>
        </w:rPr>
      </w:pPr>
      <w:r>
        <w:rPr>
          <w:rFonts w:ascii="宋体" w:hAnsi="宋体" w:eastAsia="宋体" w:cs="宋体"/>
          <w:b/>
          <w:sz w:val="28"/>
        </w:rPr>
        <w:t>编制时间：202</w:t>
      </w:r>
      <w:r>
        <w:rPr>
          <w:rFonts w:ascii="宋体" w:hAnsi="宋体" w:eastAsia="宋体" w:cs="宋体"/>
          <w:b/>
          <w:sz w:val="28"/>
          <w:lang w:eastAsia="zh-CN"/>
        </w:rPr>
        <w:t>5</w:t>
      </w:r>
      <w:r>
        <w:rPr>
          <w:rFonts w:ascii="宋体" w:hAnsi="宋体" w:eastAsia="宋体" w:cs="宋体"/>
          <w:b/>
          <w:sz w:val="28"/>
        </w:rPr>
        <w:t>年</w:t>
      </w:r>
      <w:r>
        <w:rPr>
          <w:rFonts w:ascii="宋体" w:hAnsi="宋体" w:eastAsia="宋体" w:cs="宋体"/>
          <w:b/>
          <w:sz w:val="28"/>
          <w:lang w:eastAsia="zh-CN"/>
        </w:rPr>
        <w:t>04</w:t>
      </w:r>
      <w:r>
        <w:rPr>
          <w:rFonts w:ascii="宋体" w:hAnsi="宋体" w:eastAsia="宋体" w:cs="宋体"/>
          <w:b/>
          <w:sz w:val="28"/>
        </w:rPr>
        <w:t>月</w:t>
      </w:r>
    </w:p>
    <w:p w14:paraId="1F29E33C">
      <w:pPr>
        <w:pStyle w:val="14"/>
        <w:rPr>
          <w:rFonts w:hint="default" w:ascii="宋体" w:hAnsi="宋体" w:eastAsia="宋体" w:cs="宋体"/>
        </w:rPr>
      </w:pPr>
      <w:r>
        <w:rPr>
          <w:rFonts w:ascii="宋体" w:hAnsi="宋体" w:eastAsia="宋体" w:cs="宋体"/>
        </w:rPr>
        <w:t xml:space="preserve"> </w:t>
      </w:r>
      <w:r>
        <w:rPr>
          <w:rFonts w:ascii="宋体" w:hAnsi="宋体" w:eastAsia="宋体" w:cs="宋体"/>
        </w:rPr>
        <w:br w:type="textWrapping"/>
      </w:r>
      <w:r>
        <w:rPr>
          <w:rFonts w:ascii="宋体" w:hAnsi="宋体" w:eastAsia="宋体" w:cs="宋体"/>
        </w:rPr>
        <w:br w:type="page"/>
      </w:r>
    </w:p>
    <w:p w14:paraId="65815072">
      <w:pPr>
        <w:pStyle w:val="14"/>
        <w:spacing w:line="360" w:lineRule="auto"/>
        <w:jc w:val="center"/>
        <w:outlineLvl w:val="1"/>
        <w:rPr>
          <w:rFonts w:hint="default" w:ascii="宋体" w:hAnsi="宋体" w:eastAsia="宋体" w:cs="宋体"/>
          <w:sz w:val="28"/>
          <w:szCs w:val="28"/>
        </w:rPr>
      </w:pPr>
      <w:r>
        <w:rPr>
          <w:rFonts w:ascii="宋体" w:hAnsi="宋体" w:eastAsia="宋体" w:cs="宋体"/>
          <w:b/>
          <w:sz w:val="28"/>
          <w:szCs w:val="28"/>
        </w:rPr>
        <w:t>第一章 投标邀请</w:t>
      </w:r>
    </w:p>
    <w:p w14:paraId="650F36F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福建省中凯招标代理有限公司 采用公开招标方式组织 福建省产品质量检验研究院</w:t>
      </w:r>
      <w:r>
        <w:rPr>
          <w:rFonts w:ascii="宋体" w:hAnsi="宋体" w:eastAsia="宋体" w:cs="宋体"/>
          <w:sz w:val="24"/>
          <w:szCs w:val="24"/>
          <w:lang w:eastAsia="zh-CN"/>
        </w:rPr>
        <w:t>大功率直流充电桩测试系统等试验设备采购项目</w:t>
      </w:r>
      <w:r>
        <w:rPr>
          <w:rFonts w:ascii="宋体" w:hAnsi="宋体" w:eastAsia="宋体" w:cs="宋体"/>
          <w:sz w:val="24"/>
          <w:szCs w:val="24"/>
        </w:rPr>
        <w:t xml:space="preserve"> （以下简称：“本项目”）的政府采购活动，现邀请供应商参加投标。</w:t>
      </w:r>
    </w:p>
    <w:p w14:paraId="48BBE243">
      <w:pPr>
        <w:pStyle w:val="14"/>
        <w:spacing w:line="360" w:lineRule="auto"/>
        <w:ind w:firstLine="480"/>
        <w:outlineLvl w:val="2"/>
        <w:rPr>
          <w:rFonts w:hint="default" w:ascii="宋体" w:hAnsi="宋体" w:eastAsia="宋体" w:cs="宋体"/>
          <w:sz w:val="24"/>
          <w:szCs w:val="24"/>
          <w:lang w:eastAsia="zh-CN"/>
        </w:rPr>
      </w:pPr>
      <w:r>
        <w:rPr>
          <w:rFonts w:ascii="宋体" w:hAnsi="宋体" w:eastAsia="宋体" w:cs="宋体"/>
          <w:b/>
          <w:sz w:val="24"/>
          <w:szCs w:val="24"/>
        </w:rPr>
        <w:t>1、备案编号：</w:t>
      </w:r>
    </w:p>
    <w:p w14:paraId="3ADE881C">
      <w:pPr>
        <w:pStyle w:val="14"/>
        <w:spacing w:line="360" w:lineRule="auto"/>
        <w:ind w:firstLine="480"/>
        <w:outlineLvl w:val="2"/>
        <w:rPr>
          <w:rFonts w:hint="default" w:ascii="宋体" w:hAnsi="宋体" w:eastAsia="宋体" w:cs="宋体"/>
          <w:sz w:val="24"/>
          <w:szCs w:val="24"/>
          <w:lang w:eastAsia="zh-CN"/>
        </w:rPr>
      </w:pPr>
      <w:r>
        <w:rPr>
          <w:rFonts w:ascii="宋体" w:hAnsi="宋体" w:eastAsia="宋体" w:cs="宋体"/>
          <w:b/>
          <w:sz w:val="24"/>
          <w:szCs w:val="24"/>
        </w:rPr>
        <w:t>2、项目编号：</w:t>
      </w:r>
    </w:p>
    <w:p w14:paraId="6C202A60">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3、预算金额、最高限价：详见《采购标的一览表》。</w:t>
      </w:r>
    </w:p>
    <w:p w14:paraId="75443218">
      <w:pPr>
        <w:pStyle w:val="14"/>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4、招标内容及要求：详见《采购标的一览表》及招标文件第五章。</w:t>
      </w:r>
    </w:p>
    <w:p w14:paraId="5AB5D69C">
      <w:pPr>
        <w:pStyle w:val="14"/>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5、需要落实的政府采购政策</w:t>
      </w:r>
    </w:p>
    <w:p w14:paraId="1AF5703E">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进口产品：不适用于本项目</w:t>
      </w:r>
    </w:p>
    <w:p w14:paraId="56B509CA">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节能产品：适用于本项目采购包，按照《关于印发节能产品政府采购品目清单的通知》财库〔2019〕19号执行。</w:t>
      </w:r>
    </w:p>
    <w:p w14:paraId="2BB0B1AE">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环境标志产品：适用于本项目采购包，按照《关于印发环境标志产品政府采购品目清单的通知》财库〔2019〕18号执行。</w:t>
      </w:r>
    </w:p>
    <w:p w14:paraId="2412E4B5">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促进中小企业发展的相关政策：</w:t>
      </w:r>
    </w:p>
    <w:p w14:paraId="60752C03">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采购包1：</w:t>
      </w:r>
      <w:r>
        <w:rPr>
          <w:rFonts w:ascii="宋体" w:hAnsi="宋体" w:eastAsia="宋体" w:cs="宋体"/>
          <w:sz w:val="24"/>
          <w:szCs w:val="24"/>
          <w:lang w:eastAsia="zh-CN"/>
        </w:rPr>
        <w:t>不专门面向中小企业采购</w:t>
      </w:r>
    </w:p>
    <w:p w14:paraId="37FD0C86">
      <w:pPr>
        <w:pStyle w:val="14"/>
        <w:spacing w:line="360" w:lineRule="auto"/>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采购包2：设置专门采购包</w:t>
      </w:r>
    </w:p>
    <w:p w14:paraId="298462D9">
      <w:pPr>
        <w:pStyle w:val="14"/>
        <w:spacing w:line="360" w:lineRule="auto"/>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面向的企业规模：中小企业</w:t>
      </w:r>
    </w:p>
    <w:p w14:paraId="360C37F6">
      <w:pPr>
        <w:pStyle w:val="14"/>
        <w:spacing w:line="360" w:lineRule="auto"/>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预留形式：设置专门采购包</w:t>
      </w:r>
    </w:p>
    <w:p w14:paraId="7337C244">
      <w:pPr>
        <w:pStyle w:val="14"/>
        <w:spacing w:line="360" w:lineRule="auto"/>
        <w:ind w:firstLine="480" w:firstLineChars="200"/>
        <w:rPr>
          <w:rFonts w:hint="default" w:ascii="宋体" w:hAnsi="宋体" w:eastAsia="宋体" w:cs="宋体"/>
          <w:sz w:val="24"/>
          <w:szCs w:val="24"/>
          <w:highlight w:val="none"/>
        </w:rPr>
      </w:pPr>
      <w:r>
        <w:rPr>
          <w:rFonts w:ascii="宋体" w:hAnsi="宋体" w:eastAsia="宋体" w:cs="宋体"/>
          <w:sz w:val="24"/>
          <w:szCs w:val="24"/>
          <w:highlight w:val="none"/>
        </w:rPr>
        <w:t>预留比例：100%</w:t>
      </w:r>
    </w:p>
    <w:p w14:paraId="601B125E">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r>
        <w:rPr>
          <w:rFonts w:ascii="宋体" w:hAnsi="宋体" w:eastAsia="宋体" w:cs="宋体"/>
          <w:sz w:val="24"/>
          <w:szCs w:val="24"/>
          <w:lang w:eastAsia="zh-CN"/>
        </w:rPr>
        <w:t>不专门面向中小企业采购</w:t>
      </w:r>
    </w:p>
    <w:p w14:paraId="626DB29E">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r>
        <w:rPr>
          <w:rFonts w:ascii="宋体" w:hAnsi="宋体" w:eastAsia="宋体" w:cs="宋体"/>
          <w:sz w:val="24"/>
          <w:szCs w:val="24"/>
          <w:lang w:eastAsia="zh-CN"/>
        </w:rPr>
        <w:t>不专门面向中小企业采购</w:t>
      </w:r>
    </w:p>
    <w:p w14:paraId="7C842072">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r>
        <w:rPr>
          <w:rFonts w:ascii="宋体" w:hAnsi="宋体" w:eastAsia="宋体" w:cs="宋体"/>
          <w:sz w:val="24"/>
          <w:szCs w:val="24"/>
          <w:lang w:eastAsia="zh-CN"/>
        </w:rPr>
        <w:t>不专门面向中小企业采购</w:t>
      </w:r>
    </w:p>
    <w:p w14:paraId="1FF6F056">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6、投标人的资格要求</w:t>
      </w:r>
    </w:p>
    <w:p w14:paraId="3EBE3EA3">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6.1法定条件：符合政府采购法第二十二条第一款规定的条件。</w:t>
      </w:r>
    </w:p>
    <w:p w14:paraId="16173030">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6.2特定条件：</w:t>
      </w:r>
    </w:p>
    <w:p w14:paraId="2A9D1478">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采购包1：</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5FFD61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750B4DB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vAlign w:val="center"/>
          </w:tcPr>
          <w:p w14:paraId="624C798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387A19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75C3B0C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4F05B49B">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5361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5DE1E87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41E22D9D">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278D0F89">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tbl>
      <w:tblPr>
        <w:tblStyle w:val="11"/>
        <w:tblW w:w="90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7362"/>
      </w:tblGrid>
      <w:tr w14:paraId="1D979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5B1C057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62" w:type="dxa"/>
            <w:vAlign w:val="center"/>
          </w:tcPr>
          <w:p w14:paraId="7148C32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024B7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0B66B9D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62" w:type="dxa"/>
          </w:tcPr>
          <w:p w14:paraId="5783634C">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66C6BB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5466EC2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62" w:type="dxa"/>
          </w:tcPr>
          <w:p w14:paraId="451E2ED5">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r w14:paraId="25E5D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13C7FAAB">
            <w:pPr>
              <w:pStyle w:val="14"/>
              <w:spacing w:line="360" w:lineRule="auto"/>
              <w:jc w:val="center"/>
              <w:rPr>
                <w:rFonts w:hint="default" w:ascii="宋体" w:hAnsi="宋体" w:eastAsia="宋体" w:cs="宋体"/>
                <w:sz w:val="24"/>
                <w:szCs w:val="24"/>
                <w:highlight w:val="none"/>
              </w:rPr>
            </w:pPr>
            <w:r>
              <w:rPr>
                <w:rFonts w:ascii="宋体" w:hAnsi="宋体" w:eastAsia="宋体" w:cs="宋体"/>
                <w:sz w:val="24"/>
                <w:szCs w:val="24"/>
                <w:highlight w:val="none"/>
              </w:rPr>
              <w:t>本采购包属于专门面向中小企业采购</w:t>
            </w:r>
          </w:p>
        </w:tc>
        <w:tc>
          <w:tcPr>
            <w:tcW w:w="7362" w:type="dxa"/>
          </w:tcPr>
          <w:p w14:paraId="1869D5B6">
            <w:pPr>
              <w:pStyle w:val="14"/>
              <w:spacing w:line="360" w:lineRule="auto"/>
              <w:rPr>
                <w:rFonts w:hint="default" w:ascii="宋体" w:hAnsi="宋体" w:eastAsia="宋体" w:cs="宋体"/>
                <w:sz w:val="24"/>
                <w:szCs w:val="24"/>
                <w:highlight w:val="none"/>
              </w:rPr>
            </w:pPr>
            <w:r>
              <w:rPr>
                <w:rFonts w:ascii="宋体" w:hAnsi="宋体" w:eastAsia="宋体" w:cs="宋体"/>
                <w:sz w:val="24"/>
                <w:szCs w:val="24"/>
                <w:highlight w:val="none"/>
              </w:rPr>
              <w:t>①根据《政府采购促进中小企业发展管理办法》（财库〔2020〕46号）文件规定，本采购包专门面向中小企业采购（</w:t>
            </w:r>
            <w:r>
              <w:rPr>
                <w:rFonts w:ascii="宋体" w:hAnsi="宋体" w:eastAsia="宋体" w:cs="宋体"/>
                <w:sz w:val="24"/>
                <w:szCs w:val="24"/>
                <w:highlight w:val="none"/>
                <w:lang w:eastAsia="zh-CN"/>
              </w:rPr>
              <w:t>中</w:t>
            </w:r>
            <w:r>
              <w:rPr>
                <w:rFonts w:ascii="宋体" w:hAnsi="宋体" w:eastAsia="宋体" w:cs="宋体"/>
                <w:sz w:val="24"/>
                <w:szCs w:val="24"/>
                <w:highlight w:val="none"/>
              </w:rPr>
              <w:t>小微企业、监狱企业、残疾人福利性单位），投标人须按照招标文件的格式提供《中小企业声明函（货物类）》。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本采购包为货物类采购，采购标的对应的中小企业划分标准所属行业为“工业”。</w:t>
            </w:r>
          </w:p>
        </w:tc>
      </w:tr>
    </w:tbl>
    <w:p w14:paraId="7177AAC5">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0B52F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00E65D0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61DCB61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20805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78B3CF1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2F9A1E2C">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D9075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6F40C55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5B661B35">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144896F1">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022E99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2169BA2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6D99F6D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412A04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1500F33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59E31A5E">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288F43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1BC6234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0A5D5100">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107929FC">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20F53A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23AB1D8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575247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586E01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9637FA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541902B7">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766FD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0107638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30A97CF1">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0F7851E3">
      <w:pPr>
        <w:pStyle w:val="14"/>
        <w:spacing w:line="360" w:lineRule="auto"/>
        <w:jc w:val="both"/>
        <w:rPr>
          <w:rFonts w:hint="default" w:ascii="宋体" w:hAnsi="宋体" w:eastAsia="宋体" w:cs="宋体"/>
          <w:sz w:val="24"/>
          <w:szCs w:val="24"/>
        </w:rPr>
      </w:pPr>
      <w:r>
        <w:rPr>
          <w:rFonts w:ascii="宋体" w:hAnsi="宋体" w:eastAsia="宋体" w:cs="宋体"/>
          <w:sz w:val="24"/>
          <w:szCs w:val="24"/>
        </w:rPr>
        <w:t>6.3是否接受联合体投标：</w:t>
      </w:r>
    </w:p>
    <w:p w14:paraId="731F4931">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采购包1：不接受</w:t>
      </w:r>
    </w:p>
    <w:p w14:paraId="24AC48DD">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采购包2：不接受</w:t>
      </w:r>
    </w:p>
    <w:p w14:paraId="79E92CEB">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：不接受</w:t>
      </w:r>
    </w:p>
    <w:p w14:paraId="7B66153F">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：不接受</w:t>
      </w:r>
    </w:p>
    <w:p w14:paraId="15D4241C">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：不接受</w:t>
      </w:r>
    </w:p>
    <w:p w14:paraId="358F1C7C">
      <w:pPr>
        <w:pStyle w:val="14"/>
        <w:spacing w:line="360" w:lineRule="auto"/>
        <w:ind w:firstLine="480"/>
        <w:jc w:val="both"/>
        <w:rPr>
          <w:rFonts w:hint="default" w:ascii="宋体" w:hAnsi="宋体" w:eastAsia="宋体" w:cs="宋体"/>
          <w:sz w:val="24"/>
          <w:szCs w:val="24"/>
        </w:rPr>
      </w:pPr>
      <w:r>
        <w:rPr>
          <w:rFonts w:ascii="宋体" w:hAnsi="宋体" w:eastAsia="宋体" w:cs="宋体"/>
          <w:b/>
          <w:sz w:val="24"/>
          <w:szCs w:val="24"/>
        </w:rPr>
        <w:t>※根据上述资格要求，电子投标文件中应提交的“投标人的资格及资信证明文件”详见招标文件第四章。</w:t>
      </w:r>
    </w:p>
    <w:p w14:paraId="52CC23E9">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7、招标文件的获取</w:t>
      </w:r>
    </w:p>
    <w:p w14:paraId="1DB07DB1">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7.1、招标文件获取期限：详见招标公告或更正公告，若不一致，以更正公告为准。</w:t>
      </w:r>
    </w:p>
    <w:p w14:paraId="476ABDE7">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0D8F4C64">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7.3、获取地点及方式：注册账号后，通过福建省政府采购网上公开信息系统以下载方式获取。</w:t>
      </w:r>
    </w:p>
    <w:p w14:paraId="447BDA4A">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7.4、招标文件售价：0元。</w:t>
      </w:r>
    </w:p>
    <w:p w14:paraId="0A9941BA">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8、投标截止</w:t>
      </w:r>
    </w:p>
    <w:p w14:paraId="25976010">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8.1、投标截止时间：详见招标公告或更正公告，若不一致，以更正公告为准。</w:t>
      </w:r>
    </w:p>
    <w:p w14:paraId="11B2F5A8">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8.2、投标人应在投标截止时间前按照福建省政府采购网上公开信息系统设定的操作流程将电子投标文件上传至福建省政府采购网上公开信息系统，否则投标将被拒绝。</w:t>
      </w:r>
    </w:p>
    <w:p w14:paraId="1ADE6582">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9、开标时间及地点</w:t>
      </w:r>
    </w:p>
    <w:p w14:paraId="7315A5B6">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详见招标公告或更正公告，若不一致，以更正公告为准。</w:t>
      </w:r>
    </w:p>
    <w:p w14:paraId="11CFE233">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10、公告期限</w:t>
      </w:r>
    </w:p>
    <w:p w14:paraId="55CC24FD">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10.1、招标公告的公告期限：自财政部和福建省财政厅指定的政府采购信息发布媒体最先发布公告之日起5个工作日。</w:t>
      </w:r>
    </w:p>
    <w:p w14:paraId="436E3F58">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10.2、招标文件公告期限：招标文件随同招标公告一并发布，其公告期限与招标公告的公告期限保持一致。</w:t>
      </w:r>
    </w:p>
    <w:p w14:paraId="6E31873B">
      <w:pPr>
        <w:pStyle w:val="14"/>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11、采购人：福建省产品质量检验研究院</w:t>
      </w:r>
    </w:p>
    <w:p w14:paraId="6AD1F1B6">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地址：福州市鼓楼区洪山镇双凤路6号</w:t>
      </w:r>
    </w:p>
    <w:p w14:paraId="4927908C">
      <w:pPr>
        <w:pStyle w:val="14"/>
        <w:spacing w:line="360" w:lineRule="auto"/>
        <w:ind w:firstLine="240" w:firstLineChars="100"/>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邮编：350001</w:t>
      </w:r>
    </w:p>
    <w:p w14:paraId="5079325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lang w:eastAsia="zh-CN"/>
        </w:rPr>
        <w:t xml:space="preserve">   </w:t>
      </w:r>
      <w:r>
        <w:rPr>
          <w:rFonts w:ascii="宋体" w:hAnsi="宋体" w:eastAsia="宋体" w:cs="宋体"/>
          <w:sz w:val="24"/>
          <w:szCs w:val="24"/>
        </w:rPr>
        <w:t>联系人：郑培芳</w:t>
      </w:r>
    </w:p>
    <w:p w14:paraId="64D488F2">
      <w:pPr>
        <w:pStyle w:val="14"/>
        <w:spacing w:line="360" w:lineRule="auto"/>
        <w:ind w:firstLine="480" w:firstLineChars="200"/>
        <w:rPr>
          <w:rFonts w:hint="default" w:ascii="宋体" w:hAnsi="宋体" w:eastAsia="宋体" w:cs="宋体"/>
          <w:sz w:val="24"/>
          <w:szCs w:val="24"/>
        </w:rPr>
      </w:pPr>
      <w:r>
        <w:rPr>
          <w:rFonts w:ascii="宋体" w:hAnsi="宋体" w:eastAsia="宋体" w:cs="宋体"/>
          <w:sz w:val="24"/>
          <w:szCs w:val="24"/>
        </w:rPr>
        <w:t>联系电话：</w:t>
      </w:r>
      <w:r>
        <w:rPr>
          <w:rFonts w:hint="default" w:ascii="宋体" w:hAnsi="宋体" w:eastAsia="宋体" w:cs="宋体"/>
          <w:sz w:val="24"/>
          <w:szCs w:val="24"/>
        </w:rPr>
        <w:t>0591-83712126</w:t>
      </w:r>
    </w:p>
    <w:p w14:paraId="02FFE5F3">
      <w:pPr>
        <w:pStyle w:val="14"/>
        <w:spacing w:line="360" w:lineRule="auto"/>
        <w:ind w:firstLine="480"/>
        <w:outlineLvl w:val="2"/>
        <w:rPr>
          <w:rFonts w:hint="default" w:ascii="宋体" w:hAnsi="宋体" w:eastAsia="宋体" w:cs="宋体"/>
          <w:sz w:val="24"/>
          <w:szCs w:val="24"/>
        </w:rPr>
      </w:pPr>
      <w:r>
        <w:rPr>
          <w:rFonts w:ascii="宋体" w:hAnsi="宋体" w:eastAsia="宋体" w:cs="宋体"/>
          <w:b/>
          <w:sz w:val="24"/>
          <w:szCs w:val="24"/>
        </w:rPr>
        <w:t>12、代理机构：福建省中凯招标代理有限公司</w:t>
      </w:r>
    </w:p>
    <w:p w14:paraId="02C90886">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地址： 福州市鼓楼区古田路121号华福大厦写字楼4楼A单元121</w:t>
      </w:r>
    </w:p>
    <w:p w14:paraId="0FCAD73F">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邮编： 350001</w:t>
      </w:r>
    </w:p>
    <w:p w14:paraId="1DE7FA8D">
      <w:pPr>
        <w:pStyle w:val="14"/>
        <w:spacing w:line="360" w:lineRule="auto"/>
        <w:ind w:firstLine="480" w:firstLineChars="200"/>
        <w:jc w:val="both"/>
        <w:rPr>
          <w:rFonts w:hint="default" w:ascii="宋体" w:hAnsi="宋体" w:eastAsia="宋体" w:cs="宋体"/>
          <w:sz w:val="24"/>
          <w:szCs w:val="24"/>
          <w:lang w:eastAsia="zh-CN"/>
        </w:rPr>
      </w:pPr>
      <w:r>
        <w:rPr>
          <w:rFonts w:ascii="宋体" w:hAnsi="宋体" w:eastAsia="宋体" w:cs="宋体"/>
          <w:sz w:val="24"/>
          <w:szCs w:val="24"/>
        </w:rPr>
        <w:t>联系人： 陈冰、李水连、</w:t>
      </w:r>
      <w:r>
        <w:rPr>
          <w:rFonts w:ascii="宋体" w:hAnsi="宋体" w:eastAsia="宋体" w:cs="宋体"/>
          <w:sz w:val="24"/>
          <w:szCs w:val="24"/>
          <w:lang w:eastAsia="zh-CN"/>
        </w:rPr>
        <w:t>高翠云</w:t>
      </w:r>
    </w:p>
    <w:p w14:paraId="21CEA326">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联系电话： 0591-28026610</w:t>
      </w:r>
    </w:p>
    <w:p w14:paraId="65EBE548">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附1：账户信息</w:t>
      </w:r>
    </w:p>
    <w:tbl>
      <w:tblPr>
        <w:tblStyle w:val="11"/>
        <w:tblW w:w="916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63"/>
      </w:tblGrid>
      <w:tr w14:paraId="5EBE1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51A67657">
            <w:pPr>
              <w:pStyle w:val="14"/>
              <w:spacing w:line="360" w:lineRule="auto"/>
              <w:rPr>
                <w:rFonts w:hint="default" w:ascii="宋体" w:hAnsi="宋体" w:eastAsia="宋体" w:cs="宋体"/>
                <w:sz w:val="24"/>
                <w:szCs w:val="24"/>
              </w:rPr>
            </w:pPr>
            <w:r>
              <w:rPr>
                <w:rFonts w:ascii="宋体" w:hAnsi="宋体" w:eastAsia="宋体" w:cs="宋体"/>
                <w:sz w:val="24"/>
                <w:szCs w:val="24"/>
              </w:rPr>
              <w:t>投标保证金账户</w:t>
            </w:r>
          </w:p>
        </w:tc>
      </w:tr>
      <w:tr w14:paraId="53381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3071DE68">
            <w:pPr>
              <w:pStyle w:val="14"/>
              <w:spacing w:line="360" w:lineRule="auto"/>
              <w:rPr>
                <w:rFonts w:hint="default" w:ascii="宋体" w:hAnsi="宋体" w:eastAsia="宋体" w:cs="宋体"/>
                <w:sz w:val="24"/>
                <w:szCs w:val="24"/>
              </w:rPr>
            </w:pPr>
            <w:r>
              <w:rPr>
                <w:rFonts w:ascii="宋体" w:hAnsi="宋体" w:eastAsia="宋体" w:cs="宋体"/>
                <w:sz w:val="24"/>
                <w:szCs w:val="24"/>
              </w:rPr>
              <w:t>开户名称： 福建省中凯招标代理有限公司</w:t>
            </w:r>
          </w:p>
        </w:tc>
      </w:tr>
      <w:tr w14:paraId="006C8E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1330D733">
            <w:pPr>
              <w:pStyle w:val="14"/>
              <w:spacing w:line="360" w:lineRule="auto"/>
              <w:rPr>
                <w:rFonts w:hint="default" w:ascii="宋体" w:hAnsi="宋体" w:eastAsia="宋体" w:cs="宋体"/>
                <w:sz w:val="24"/>
                <w:szCs w:val="24"/>
              </w:rPr>
            </w:pPr>
            <w:r>
              <w:rPr>
                <w:rFonts w:ascii="宋体" w:hAnsi="宋体" w:eastAsia="宋体" w:cs="宋体"/>
                <w:sz w:val="24"/>
                <w:szCs w:val="24"/>
              </w:rPr>
              <w:t>开户银行：供应商在福建省政府采购网上公开信息系统获取招标文件后，根据其提示自行选择要缴交的投标保证金托管银行。</w:t>
            </w:r>
          </w:p>
        </w:tc>
      </w:tr>
      <w:tr w14:paraId="05D41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65150B5A">
            <w:pPr>
              <w:pStyle w:val="14"/>
              <w:spacing w:line="360" w:lineRule="auto"/>
              <w:rPr>
                <w:rFonts w:hint="default" w:ascii="宋体" w:hAnsi="宋体" w:eastAsia="宋体" w:cs="宋体"/>
                <w:sz w:val="24"/>
                <w:szCs w:val="24"/>
              </w:rPr>
            </w:pPr>
            <w:r>
              <w:rPr>
                <w:rFonts w:ascii="宋体" w:hAnsi="宋体" w:eastAsia="宋体" w:cs="宋体"/>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2EFB4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562FA715">
            <w:pPr>
              <w:pStyle w:val="14"/>
              <w:spacing w:line="360" w:lineRule="auto"/>
              <w:rPr>
                <w:rFonts w:hint="default" w:ascii="宋体" w:hAnsi="宋体" w:eastAsia="宋体" w:cs="宋体"/>
                <w:sz w:val="24"/>
                <w:szCs w:val="24"/>
              </w:rPr>
            </w:pPr>
            <w:r>
              <w:rPr>
                <w:rFonts w:ascii="宋体" w:hAnsi="宋体" w:eastAsia="宋体" w:cs="宋体"/>
                <w:sz w:val="24"/>
                <w:szCs w:val="24"/>
              </w:rPr>
              <w:t>特别提示</w:t>
            </w:r>
          </w:p>
        </w:tc>
      </w:tr>
      <w:tr w14:paraId="0072BB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63" w:type="dxa"/>
          </w:tcPr>
          <w:p w14:paraId="67493B11">
            <w:pPr>
              <w:pStyle w:val="14"/>
              <w:spacing w:line="360" w:lineRule="auto"/>
              <w:rPr>
                <w:rFonts w:hint="default" w:ascii="宋体" w:hAnsi="宋体" w:eastAsia="宋体" w:cs="宋体"/>
                <w:sz w:val="24"/>
                <w:szCs w:val="24"/>
              </w:rPr>
            </w:pPr>
            <w:r>
              <w:rPr>
                <w:rFonts w:ascii="宋体" w:hAnsi="宋体" w:eastAsia="宋体" w:cs="宋体"/>
                <w:sz w:val="24"/>
                <w:szCs w:val="24"/>
              </w:rPr>
              <w:t>1、投标人应认真核对账户信息，将投标保证金汇入以上账户，并自行承担因汇错投标保证金而产生的一切后果。</w:t>
            </w:r>
          </w:p>
          <w:p w14:paraId="710298D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2、投标人在转账或电汇的凭证上应按照以下格式注明，以便核对：“（项目编号：***）的投标保证金”。</w:t>
            </w:r>
          </w:p>
        </w:tc>
      </w:tr>
    </w:tbl>
    <w:p w14:paraId="21912EC6">
      <w:pPr>
        <w:pStyle w:val="14"/>
        <w:spacing w:line="360" w:lineRule="auto"/>
        <w:ind w:firstLine="480"/>
        <w:jc w:val="both"/>
        <w:outlineLvl w:val="2"/>
        <w:rPr>
          <w:rFonts w:hint="default" w:ascii="宋体" w:hAnsi="宋体" w:eastAsia="宋体" w:cs="宋体"/>
          <w:b/>
          <w:sz w:val="24"/>
          <w:szCs w:val="24"/>
        </w:rPr>
      </w:pPr>
    </w:p>
    <w:p w14:paraId="777477F8">
      <w:pPr>
        <w:pStyle w:val="14"/>
        <w:spacing w:line="360" w:lineRule="auto"/>
        <w:jc w:val="both"/>
        <w:outlineLvl w:val="2"/>
        <w:rPr>
          <w:rFonts w:hint="default" w:ascii="宋体" w:hAnsi="宋体" w:eastAsia="宋体" w:cs="宋体"/>
          <w:b/>
          <w:sz w:val="24"/>
          <w:szCs w:val="24"/>
        </w:rPr>
      </w:pPr>
    </w:p>
    <w:p w14:paraId="5D4DF752">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附2：采购标的一览表</w:t>
      </w:r>
    </w:p>
    <w:p w14:paraId="1B7D6F69">
      <w:pPr>
        <w:pStyle w:val="14"/>
        <w:spacing w:line="360" w:lineRule="auto"/>
        <w:rPr>
          <w:rFonts w:hint="default" w:ascii="宋体" w:hAnsi="宋体" w:eastAsia="宋体" w:cs="宋体"/>
          <w:sz w:val="24"/>
          <w:szCs w:val="24"/>
        </w:rPr>
      </w:pPr>
      <w:r>
        <w:rPr>
          <w:rFonts w:ascii="宋体" w:hAnsi="宋体" w:eastAsia="宋体" w:cs="宋体"/>
          <w:sz w:val="24"/>
          <w:szCs w:val="24"/>
        </w:rPr>
        <w:t>采购包1：</w:t>
      </w:r>
    </w:p>
    <w:p w14:paraId="52A8FB4A">
      <w:pPr>
        <w:pStyle w:val="14"/>
        <w:spacing w:line="360" w:lineRule="auto"/>
        <w:rPr>
          <w:rFonts w:hint="default" w:ascii="宋体" w:hAnsi="宋体" w:eastAsia="宋体" w:cs="宋体"/>
          <w:sz w:val="24"/>
          <w:szCs w:val="24"/>
        </w:rPr>
      </w:pPr>
      <w:r>
        <w:rPr>
          <w:rFonts w:ascii="宋体" w:hAnsi="宋体" w:eastAsia="宋体" w:cs="宋体"/>
          <w:sz w:val="24"/>
          <w:szCs w:val="24"/>
        </w:rPr>
        <w:t>采购包预算金额（元）:</w:t>
      </w:r>
      <w:r>
        <w:rPr>
          <w:rFonts w:ascii="宋体" w:hAnsi="宋体" w:eastAsia="宋体" w:cs="宋体"/>
          <w:sz w:val="24"/>
          <w:szCs w:val="24"/>
          <w:lang w:eastAsia="zh-CN"/>
        </w:rPr>
        <w:t xml:space="preserve"> 2600000</w:t>
      </w:r>
      <w:r>
        <w:rPr>
          <w:rFonts w:ascii="宋体" w:hAnsi="宋体" w:eastAsia="宋体" w:cs="宋体"/>
          <w:sz w:val="24"/>
          <w:szCs w:val="24"/>
        </w:rPr>
        <w:t>.00</w:t>
      </w:r>
    </w:p>
    <w:p w14:paraId="6DC628C0">
      <w:pPr>
        <w:pStyle w:val="14"/>
        <w:spacing w:line="360" w:lineRule="auto"/>
        <w:rPr>
          <w:rFonts w:hint="default" w:ascii="宋体" w:hAnsi="宋体" w:eastAsia="宋体" w:cs="宋体"/>
          <w:sz w:val="24"/>
          <w:szCs w:val="24"/>
        </w:rPr>
      </w:pPr>
      <w:r>
        <w:rPr>
          <w:rFonts w:ascii="宋体" w:hAnsi="宋体" w:eastAsia="宋体" w:cs="宋体"/>
          <w:sz w:val="24"/>
          <w:szCs w:val="24"/>
        </w:rPr>
        <w:t>采购包最高限价（元）:</w:t>
      </w:r>
      <w:r>
        <w:rPr>
          <w:rFonts w:ascii="宋体" w:hAnsi="宋体" w:eastAsia="宋体" w:cs="宋体"/>
          <w:sz w:val="24"/>
          <w:szCs w:val="24"/>
          <w:lang w:eastAsia="zh-CN"/>
        </w:rPr>
        <w:t xml:space="preserve"> 2600000</w:t>
      </w:r>
      <w:r>
        <w:rPr>
          <w:rFonts w:ascii="宋体" w:hAnsi="宋体" w:eastAsia="宋体" w:cs="宋体"/>
          <w:sz w:val="24"/>
          <w:szCs w:val="24"/>
        </w:rPr>
        <w:t>.00</w:t>
      </w:r>
    </w:p>
    <w:p w14:paraId="5D4AE5A7">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采购包保证金金额（元）: </w:t>
      </w:r>
      <w:r>
        <w:rPr>
          <w:rFonts w:ascii="宋体" w:hAnsi="宋体" w:eastAsia="宋体" w:cs="宋体"/>
          <w:sz w:val="24"/>
          <w:szCs w:val="24"/>
          <w:lang w:eastAsia="zh-CN"/>
        </w:rPr>
        <w:t>26000</w:t>
      </w:r>
      <w:r>
        <w:rPr>
          <w:rFonts w:ascii="宋体" w:hAnsi="宋体" w:eastAsia="宋体" w:cs="宋体"/>
          <w:sz w:val="24"/>
          <w:szCs w:val="24"/>
        </w:rPr>
        <w:t>.00</w:t>
      </w:r>
    </w:p>
    <w:tbl>
      <w:tblPr>
        <w:tblStyle w:val="11"/>
        <w:tblW w:w="855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0"/>
        <w:gridCol w:w="1677"/>
        <w:gridCol w:w="929"/>
        <w:gridCol w:w="1416"/>
        <w:gridCol w:w="1166"/>
        <w:gridCol w:w="1275"/>
        <w:gridCol w:w="1187"/>
      </w:tblGrid>
      <w:tr w14:paraId="4FDA33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0F44167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77" w:type="dxa"/>
            <w:vAlign w:val="center"/>
          </w:tcPr>
          <w:p w14:paraId="272ED45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929" w:type="dxa"/>
            <w:vAlign w:val="center"/>
          </w:tcPr>
          <w:p w14:paraId="128F352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16" w:type="dxa"/>
            <w:vAlign w:val="center"/>
          </w:tcPr>
          <w:p w14:paraId="2C3AF5D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标的金额 （元）</w:t>
            </w:r>
          </w:p>
        </w:tc>
        <w:tc>
          <w:tcPr>
            <w:tcW w:w="1166" w:type="dxa"/>
            <w:vAlign w:val="center"/>
          </w:tcPr>
          <w:p w14:paraId="70DF543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计量单位</w:t>
            </w:r>
          </w:p>
        </w:tc>
        <w:tc>
          <w:tcPr>
            <w:tcW w:w="1275" w:type="dxa"/>
            <w:vAlign w:val="center"/>
          </w:tcPr>
          <w:p w14:paraId="4A0AD28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187" w:type="dxa"/>
            <w:vAlign w:val="center"/>
          </w:tcPr>
          <w:p w14:paraId="616A5C2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7536BB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0" w:type="dxa"/>
            <w:vAlign w:val="center"/>
          </w:tcPr>
          <w:p w14:paraId="12550FF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77" w:type="dxa"/>
            <w:vAlign w:val="center"/>
          </w:tcPr>
          <w:p w14:paraId="74A50DC4">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大功率直流充电桩测试系统</w:t>
            </w:r>
          </w:p>
        </w:tc>
        <w:tc>
          <w:tcPr>
            <w:tcW w:w="929" w:type="dxa"/>
            <w:vAlign w:val="center"/>
          </w:tcPr>
          <w:p w14:paraId="6401066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00400BB7">
            <w:pPr>
              <w:pStyle w:val="14"/>
              <w:spacing w:line="360" w:lineRule="auto"/>
              <w:jc w:val="center"/>
              <w:rPr>
                <w:rFonts w:hint="default" w:ascii="宋体" w:hAnsi="宋体" w:eastAsia="宋体" w:cs="宋体"/>
                <w:sz w:val="24"/>
                <w:szCs w:val="24"/>
              </w:rPr>
            </w:pPr>
            <w:r>
              <w:rPr>
                <w:rFonts w:ascii="宋体" w:hAnsi="宋体" w:eastAsia="宋体" w:cs="宋体"/>
                <w:sz w:val="24"/>
                <w:szCs w:val="24"/>
                <w:lang w:eastAsia="zh-CN"/>
              </w:rPr>
              <w:t>2600000</w:t>
            </w:r>
            <w:r>
              <w:rPr>
                <w:rFonts w:ascii="宋体" w:hAnsi="宋体" w:eastAsia="宋体" w:cs="宋体"/>
                <w:sz w:val="24"/>
                <w:szCs w:val="24"/>
              </w:rPr>
              <w:t>.00</w:t>
            </w:r>
          </w:p>
        </w:tc>
        <w:tc>
          <w:tcPr>
            <w:tcW w:w="1166" w:type="dxa"/>
            <w:vAlign w:val="center"/>
          </w:tcPr>
          <w:p w14:paraId="7963B71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275" w:type="dxa"/>
            <w:vAlign w:val="center"/>
          </w:tcPr>
          <w:p w14:paraId="38929D5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87" w:type="dxa"/>
            <w:vAlign w:val="center"/>
          </w:tcPr>
          <w:p w14:paraId="3A55F43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0F6618EE">
      <w:pPr>
        <w:pStyle w:val="14"/>
        <w:spacing w:line="360" w:lineRule="auto"/>
        <w:rPr>
          <w:rFonts w:hint="default" w:ascii="宋体" w:hAnsi="宋体" w:eastAsia="宋体" w:cs="宋体"/>
          <w:sz w:val="24"/>
          <w:szCs w:val="24"/>
        </w:rPr>
      </w:pPr>
    </w:p>
    <w:p w14:paraId="5C5C0224">
      <w:pPr>
        <w:pStyle w:val="14"/>
        <w:spacing w:line="360" w:lineRule="auto"/>
        <w:rPr>
          <w:rFonts w:hint="default" w:ascii="宋体" w:hAnsi="宋体" w:eastAsia="宋体" w:cs="宋体"/>
          <w:sz w:val="24"/>
          <w:szCs w:val="24"/>
        </w:rPr>
      </w:pPr>
    </w:p>
    <w:p w14:paraId="017ADD57">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p w14:paraId="3C72675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采购包预算金额（元）: </w:t>
      </w:r>
      <w:r>
        <w:rPr>
          <w:rFonts w:ascii="宋体" w:hAnsi="宋体" w:eastAsia="宋体" w:cs="宋体"/>
          <w:sz w:val="24"/>
          <w:szCs w:val="24"/>
          <w:lang w:eastAsia="zh-CN"/>
        </w:rPr>
        <w:t>510</w:t>
      </w:r>
      <w:r>
        <w:rPr>
          <w:rFonts w:ascii="宋体" w:hAnsi="宋体" w:eastAsia="宋体" w:cs="宋体"/>
          <w:sz w:val="24"/>
          <w:szCs w:val="24"/>
        </w:rPr>
        <w:t>000.00</w:t>
      </w:r>
    </w:p>
    <w:p w14:paraId="4219E03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采购包最高限价（元）: </w:t>
      </w:r>
      <w:r>
        <w:rPr>
          <w:rFonts w:ascii="宋体" w:hAnsi="宋体" w:eastAsia="宋体" w:cs="宋体"/>
          <w:sz w:val="24"/>
          <w:szCs w:val="24"/>
          <w:lang w:eastAsia="zh-CN"/>
        </w:rPr>
        <w:t>510</w:t>
      </w:r>
      <w:r>
        <w:rPr>
          <w:rFonts w:ascii="宋体" w:hAnsi="宋体" w:eastAsia="宋体" w:cs="宋体"/>
          <w:sz w:val="24"/>
          <w:szCs w:val="24"/>
        </w:rPr>
        <w:t>000.00</w:t>
      </w:r>
    </w:p>
    <w:p w14:paraId="0407D5F9">
      <w:pPr>
        <w:pStyle w:val="14"/>
        <w:spacing w:line="360" w:lineRule="auto"/>
        <w:rPr>
          <w:rFonts w:hint="default" w:ascii="宋体" w:hAnsi="宋体" w:eastAsia="宋体" w:cs="宋体"/>
          <w:sz w:val="24"/>
          <w:szCs w:val="24"/>
        </w:rPr>
      </w:pPr>
      <w:r>
        <w:rPr>
          <w:rFonts w:ascii="宋体" w:hAnsi="宋体" w:eastAsia="宋体" w:cs="宋体"/>
          <w:sz w:val="24"/>
          <w:szCs w:val="24"/>
        </w:rPr>
        <w:t>采购包保证金金额（元）:</w:t>
      </w:r>
      <w:r>
        <w:rPr>
          <w:rFonts w:ascii="宋体" w:hAnsi="宋体" w:eastAsia="宋体" w:cs="宋体"/>
          <w:sz w:val="24"/>
          <w:szCs w:val="24"/>
          <w:lang w:eastAsia="zh-CN"/>
        </w:rPr>
        <w:t>5100</w:t>
      </w:r>
      <w:r>
        <w:rPr>
          <w:rFonts w:ascii="宋体" w:hAnsi="宋体" w:eastAsia="宋体" w:cs="宋体"/>
          <w:sz w:val="24"/>
          <w:szCs w:val="24"/>
        </w:rPr>
        <w:t>.00</w:t>
      </w:r>
    </w:p>
    <w:tbl>
      <w:tblPr>
        <w:tblStyle w:val="11"/>
        <w:tblW w:w="8536"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1691"/>
        <w:gridCol w:w="949"/>
        <w:gridCol w:w="1416"/>
        <w:gridCol w:w="1184"/>
        <w:gridCol w:w="1184"/>
        <w:gridCol w:w="1199"/>
      </w:tblGrid>
      <w:tr w14:paraId="016BB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2635B49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91" w:type="dxa"/>
            <w:vAlign w:val="center"/>
          </w:tcPr>
          <w:p w14:paraId="18E7314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949" w:type="dxa"/>
            <w:vAlign w:val="center"/>
          </w:tcPr>
          <w:p w14:paraId="2EE60C3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16" w:type="dxa"/>
            <w:vAlign w:val="center"/>
          </w:tcPr>
          <w:p w14:paraId="26B54BA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标的金额 （元）</w:t>
            </w:r>
          </w:p>
        </w:tc>
        <w:tc>
          <w:tcPr>
            <w:tcW w:w="1184" w:type="dxa"/>
            <w:vAlign w:val="center"/>
          </w:tcPr>
          <w:p w14:paraId="323809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计量单位</w:t>
            </w:r>
          </w:p>
        </w:tc>
        <w:tc>
          <w:tcPr>
            <w:tcW w:w="1184" w:type="dxa"/>
            <w:vAlign w:val="center"/>
          </w:tcPr>
          <w:p w14:paraId="6539196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199" w:type="dxa"/>
            <w:vAlign w:val="center"/>
          </w:tcPr>
          <w:p w14:paraId="6847DF2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22BD0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69A746E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91" w:type="dxa"/>
            <w:vAlign w:val="center"/>
          </w:tcPr>
          <w:p w14:paraId="7B5FB041">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充电桩负载和车辆模拟器</w:t>
            </w:r>
          </w:p>
        </w:tc>
        <w:tc>
          <w:tcPr>
            <w:tcW w:w="949" w:type="dxa"/>
            <w:vAlign w:val="center"/>
          </w:tcPr>
          <w:p w14:paraId="4A53776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52B3D417">
            <w:pPr>
              <w:pStyle w:val="14"/>
              <w:spacing w:line="360" w:lineRule="auto"/>
              <w:jc w:val="center"/>
              <w:rPr>
                <w:rFonts w:hint="default" w:ascii="宋体" w:hAnsi="宋体" w:eastAsia="宋体" w:cs="宋体"/>
                <w:sz w:val="24"/>
                <w:szCs w:val="24"/>
              </w:rPr>
            </w:pPr>
            <w:r>
              <w:rPr>
                <w:rFonts w:ascii="宋体" w:hAnsi="宋体" w:eastAsia="宋体" w:cs="宋体"/>
                <w:sz w:val="24"/>
                <w:szCs w:val="24"/>
                <w:lang w:eastAsia="zh-CN"/>
              </w:rPr>
              <w:t>510</w:t>
            </w:r>
            <w:r>
              <w:rPr>
                <w:rFonts w:ascii="宋体" w:hAnsi="宋体" w:eastAsia="宋体" w:cs="宋体"/>
                <w:sz w:val="24"/>
                <w:szCs w:val="24"/>
              </w:rPr>
              <w:t>000.00</w:t>
            </w:r>
          </w:p>
        </w:tc>
        <w:tc>
          <w:tcPr>
            <w:tcW w:w="1184" w:type="dxa"/>
            <w:vAlign w:val="center"/>
          </w:tcPr>
          <w:p w14:paraId="4720C8B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184" w:type="dxa"/>
            <w:vAlign w:val="center"/>
          </w:tcPr>
          <w:p w14:paraId="14A1224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99" w:type="dxa"/>
            <w:vAlign w:val="center"/>
          </w:tcPr>
          <w:p w14:paraId="2ADF887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28EEB2E4">
      <w:pPr>
        <w:pStyle w:val="14"/>
        <w:spacing w:line="360" w:lineRule="auto"/>
        <w:rPr>
          <w:rFonts w:hint="default" w:ascii="宋体" w:hAnsi="宋体" w:eastAsia="宋体" w:cs="宋体"/>
          <w:sz w:val="24"/>
          <w:szCs w:val="24"/>
        </w:rPr>
      </w:pPr>
    </w:p>
    <w:p w14:paraId="677B5758">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p w14:paraId="3BC3F64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采购包预算金额（元）: </w:t>
      </w:r>
      <w:r>
        <w:rPr>
          <w:rFonts w:ascii="宋体" w:hAnsi="宋体" w:eastAsia="宋体" w:cs="宋体"/>
          <w:sz w:val="24"/>
          <w:szCs w:val="24"/>
          <w:lang w:eastAsia="zh-CN"/>
        </w:rPr>
        <w:t>1370000</w:t>
      </w:r>
      <w:r>
        <w:rPr>
          <w:rFonts w:ascii="宋体" w:hAnsi="宋体" w:eastAsia="宋体" w:cs="宋体"/>
          <w:sz w:val="24"/>
          <w:szCs w:val="24"/>
        </w:rPr>
        <w:t>.00</w:t>
      </w:r>
    </w:p>
    <w:p w14:paraId="7A52494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采购包最高限价（元）: </w:t>
      </w:r>
      <w:r>
        <w:rPr>
          <w:rFonts w:ascii="宋体" w:hAnsi="宋体" w:eastAsia="宋体" w:cs="宋体"/>
          <w:sz w:val="24"/>
          <w:szCs w:val="24"/>
          <w:lang w:eastAsia="zh-CN"/>
        </w:rPr>
        <w:t>1370000</w:t>
      </w:r>
      <w:r>
        <w:rPr>
          <w:rFonts w:ascii="宋体" w:hAnsi="宋体" w:eastAsia="宋体" w:cs="宋体"/>
          <w:sz w:val="24"/>
          <w:szCs w:val="24"/>
        </w:rPr>
        <w:t>.00</w:t>
      </w:r>
    </w:p>
    <w:p w14:paraId="7F6867AE">
      <w:pPr>
        <w:pStyle w:val="14"/>
        <w:spacing w:line="360" w:lineRule="auto"/>
        <w:rPr>
          <w:rFonts w:hint="default" w:ascii="宋体" w:hAnsi="宋体" w:eastAsia="宋体" w:cs="宋体"/>
          <w:sz w:val="24"/>
          <w:szCs w:val="24"/>
        </w:rPr>
      </w:pPr>
      <w:r>
        <w:rPr>
          <w:rFonts w:ascii="宋体" w:hAnsi="宋体" w:eastAsia="宋体" w:cs="宋体"/>
          <w:sz w:val="24"/>
          <w:szCs w:val="24"/>
        </w:rPr>
        <w:t>采购包保证金金额（元）:</w:t>
      </w:r>
      <w:r>
        <w:rPr>
          <w:rFonts w:ascii="宋体" w:hAnsi="宋体" w:eastAsia="宋体" w:cs="宋体"/>
          <w:sz w:val="24"/>
          <w:szCs w:val="24"/>
          <w:lang w:eastAsia="zh-CN"/>
        </w:rPr>
        <w:t>13700</w:t>
      </w:r>
      <w:r>
        <w:rPr>
          <w:rFonts w:ascii="宋体" w:hAnsi="宋体" w:eastAsia="宋体" w:cs="宋体"/>
          <w:sz w:val="24"/>
          <w:szCs w:val="24"/>
        </w:rPr>
        <w:t>.00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1691"/>
        <w:gridCol w:w="949"/>
        <w:gridCol w:w="1416"/>
        <w:gridCol w:w="1184"/>
        <w:gridCol w:w="1184"/>
        <w:gridCol w:w="1185"/>
      </w:tblGrid>
      <w:tr w14:paraId="3FA88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42555A3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91" w:type="dxa"/>
            <w:vAlign w:val="center"/>
          </w:tcPr>
          <w:p w14:paraId="0DB90F7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949" w:type="dxa"/>
            <w:vAlign w:val="center"/>
          </w:tcPr>
          <w:p w14:paraId="3AB03D1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16" w:type="dxa"/>
            <w:vAlign w:val="center"/>
          </w:tcPr>
          <w:p w14:paraId="678A9E5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标的金额 （元）</w:t>
            </w:r>
          </w:p>
        </w:tc>
        <w:tc>
          <w:tcPr>
            <w:tcW w:w="1184" w:type="dxa"/>
            <w:vAlign w:val="center"/>
          </w:tcPr>
          <w:p w14:paraId="0F87C7C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计量单位</w:t>
            </w:r>
          </w:p>
        </w:tc>
        <w:tc>
          <w:tcPr>
            <w:tcW w:w="1184" w:type="dxa"/>
            <w:vAlign w:val="center"/>
          </w:tcPr>
          <w:p w14:paraId="0CA1FB7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185" w:type="dxa"/>
            <w:vAlign w:val="center"/>
          </w:tcPr>
          <w:p w14:paraId="4DFCA1D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166886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6E3879F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91" w:type="dxa"/>
            <w:vAlign w:val="center"/>
          </w:tcPr>
          <w:p w14:paraId="185F5F7D">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充电桩能量回馈大功率双向电源</w:t>
            </w:r>
          </w:p>
        </w:tc>
        <w:tc>
          <w:tcPr>
            <w:tcW w:w="949" w:type="dxa"/>
            <w:vAlign w:val="center"/>
          </w:tcPr>
          <w:p w14:paraId="74CCC3B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42D7A43C">
            <w:pPr>
              <w:pStyle w:val="14"/>
              <w:spacing w:line="360" w:lineRule="auto"/>
              <w:jc w:val="center"/>
              <w:rPr>
                <w:rFonts w:hint="default" w:ascii="宋体" w:hAnsi="宋体" w:eastAsia="宋体" w:cs="宋体"/>
                <w:sz w:val="24"/>
                <w:szCs w:val="24"/>
              </w:rPr>
            </w:pPr>
            <w:r>
              <w:rPr>
                <w:rFonts w:ascii="宋体" w:hAnsi="宋体" w:eastAsia="宋体" w:cs="宋体"/>
                <w:sz w:val="24"/>
                <w:szCs w:val="24"/>
                <w:lang w:eastAsia="zh-CN"/>
              </w:rPr>
              <w:t>1370000</w:t>
            </w:r>
            <w:r>
              <w:rPr>
                <w:rFonts w:ascii="宋体" w:hAnsi="宋体" w:eastAsia="宋体" w:cs="宋体"/>
                <w:sz w:val="24"/>
                <w:szCs w:val="24"/>
              </w:rPr>
              <w:t>.00</w:t>
            </w:r>
          </w:p>
        </w:tc>
        <w:tc>
          <w:tcPr>
            <w:tcW w:w="1184" w:type="dxa"/>
            <w:vAlign w:val="center"/>
          </w:tcPr>
          <w:p w14:paraId="2DF28C6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184" w:type="dxa"/>
            <w:vAlign w:val="center"/>
          </w:tcPr>
          <w:p w14:paraId="622653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85" w:type="dxa"/>
            <w:vAlign w:val="center"/>
          </w:tcPr>
          <w:p w14:paraId="31E8548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73E4FC10">
      <w:pPr>
        <w:pStyle w:val="14"/>
        <w:spacing w:line="360" w:lineRule="auto"/>
        <w:rPr>
          <w:rFonts w:hint="default" w:ascii="宋体" w:hAnsi="宋体" w:eastAsia="宋体" w:cs="宋体"/>
          <w:sz w:val="24"/>
          <w:szCs w:val="24"/>
        </w:rPr>
      </w:pPr>
    </w:p>
    <w:p w14:paraId="657D5695">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p w14:paraId="663712F3">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采购包预算金额（元）: </w:t>
      </w:r>
      <w:r>
        <w:rPr>
          <w:rFonts w:ascii="宋体" w:hAnsi="宋体" w:eastAsia="宋体" w:cs="宋体"/>
          <w:sz w:val="24"/>
          <w:szCs w:val="24"/>
          <w:lang w:eastAsia="zh-CN"/>
        </w:rPr>
        <w:t>4460</w:t>
      </w:r>
      <w:r>
        <w:rPr>
          <w:rFonts w:ascii="宋体" w:hAnsi="宋体" w:eastAsia="宋体" w:cs="宋体"/>
          <w:sz w:val="24"/>
          <w:szCs w:val="24"/>
        </w:rPr>
        <w:t>000.00</w:t>
      </w:r>
    </w:p>
    <w:p w14:paraId="2BBDAEE6">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采购包最高限价（元）: </w:t>
      </w:r>
      <w:r>
        <w:rPr>
          <w:rFonts w:ascii="宋体" w:hAnsi="宋体" w:eastAsia="宋体" w:cs="宋体"/>
          <w:sz w:val="24"/>
          <w:szCs w:val="24"/>
          <w:lang w:eastAsia="zh-CN"/>
        </w:rPr>
        <w:t>4460</w:t>
      </w:r>
      <w:r>
        <w:rPr>
          <w:rFonts w:ascii="宋体" w:hAnsi="宋体" w:eastAsia="宋体" w:cs="宋体"/>
          <w:sz w:val="24"/>
          <w:szCs w:val="24"/>
        </w:rPr>
        <w:t>000.00</w:t>
      </w:r>
    </w:p>
    <w:p w14:paraId="42D9FC07">
      <w:pPr>
        <w:pStyle w:val="14"/>
        <w:spacing w:line="360" w:lineRule="auto"/>
        <w:rPr>
          <w:rFonts w:hint="default" w:ascii="宋体" w:hAnsi="宋体" w:eastAsia="宋体" w:cs="宋体"/>
          <w:sz w:val="24"/>
          <w:szCs w:val="24"/>
        </w:rPr>
      </w:pPr>
      <w:r>
        <w:rPr>
          <w:rFonts w:ascii="宋体" w:hAnsi="宋体" w:eastAsia="宋体" w:cs="宋体"/>
          <w:sz w:val="24"/>
          <w:szCs w:val="24"/>
        </w:rPr>
        <w:t>采购包保证金金额（元）:</w:t>
      </w:r>
      <w:r>
        <w:rPr>
          <w:rFonts w:ascii="宋体" w:hAnsi="宋体" w:eastAsia="宋体" w:cs="宋体"/>
          <w:sz w:val="24"/>
          <w:szCs w:val="24"/>
          <w:lang w:eastAsia="zh-CN"/>
        </w:rPr>
        <w:t>44600</w:t>
      </w:r>
      <w:r>
        <w:rPr>
          <w:rFonts w:ascii="宋体" w:hAnsi="宋体" w:eastAsia="宋体" w:cs="宋体"/>
          <w:sz w:val="24"/>
          <w:szCs w:val="24"/>
        </w:rPr>
        <w:t>.00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1691"/>
        <w:gridCol w:w="949"/>
        <w:gridCol w:w="1416"/>
        <w:gridCol w:w="1184"/>
        <w:gridCol w:w="1184"/>
        <w:gridCol w:w="1185"/>
      </w:tblGrid>
      <w:tr w14:paraId="3F96C6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317CA95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91" w:type="dxa"/>
            <w:vAlign w:val="center"/>
          </w:tcPr>
          <w:p w14:paraId="4E6B5CC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949" w:type="dxa"/>
            <w:vAlign w:val="center"/>
          </w:tcPr>
          <w:p w14:paraId="159A17D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16" w:type="dxa"/>
            <w:vAlign w:val="center"/>
          </w:tcPr>
          <w:p w14:paraId="63DDD01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标的金额 （元）</w:t>
            </w:r>
          </w:p>
        </w:tc>
        <w:tc>
          <w:tcPr>
            <w:tcW w:w="1184" w:type="dxa"/>
            <w:vAlign w:val="center"/>
          </w:tcPr>
          <w:p w14:paraId="24B36B4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计量单位</w:t>
            </w:r>
          </w:p>
        </w:tc>
        <w:tc>
          <w:tcPr>
            <w:tcW w:w="1184" w:type="dxa"/>
            <w:vAlign w:val="center"/>
          </w:tcPr>
          <w:p w14:paraId="592E6D4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185" w:type="dxa"/>
            <w:vAlign w:val="center"/>
          </w:tcPr>
          <w:p w14:paraId="7CA3C7A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51BC3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163E52A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91" w:type="dxa"/>
            <w:vAlign w:val="center"/>
          </w:tcPr>
          <w:p w14:paraId="310CE249">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三相谐波闪烁测试系统</w:t>
            </w:r>
          </w:p>
        </w:tc>
        <w:tc>
          <w:tcPr>
            <w:tcW w:w="949" w:type="dxa"/>
            <w:vAlign w:val="center"/>
          </w:tcPr>
          <w:p w14:paraId="0DB150F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4D813984">
            <w:pPr>
              <w:pStyle w:val="14"/>
              <w:spacing w:line="360" w:lineRule="auto"/>
              <w:jc w:val="center"/>
              <w:rPr>
                <w:rFonts w:hint="default" w:ascii="宋体" w:hAnsi="宋体" w:eastAsia="宋体" w:cs="宋体"/>
                <w:sz w:val="24"/>
                <w:szCs w:val="24"/>
              </w:rPr>
            </w:pPr>
            <w:r>
              <w:rPr>
                <w:rFonts w:ascii="宋体" w:hAnsi="宋体" w:eastAsia="宋体" w:cs="宋体"/>
                <w:sz w:val="24"/>
                <w:szCs w:val="24"/>
                <w:lang w:eastAsia="zh-CN"/>
              </w:rPr>
              <w:t>2810</w:t>
            </w:r>
            <w:r>
              <w:rPr>
                <w:rFonts w:ascii="宋体" w:hAnsi="宋体" w:eastAsia="宋体" w:cs="宋体"/>
                <w:sz w:val="24"/>
                <w:szCs w:val="24"/>
              </w:rPr>
              <w:t>000.00</w:t>
            </w:r>
          </w:p>
        </w:tc>
        <w:tc>
          <w:tcPr>
            <w:tcW w:w="1184" w:type="dxa"/>
            <w:vAlign w:val="center"/>
          </w:tcPr>
          <w:p w14:paraId="03562B4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184" w:type="dxa"/>
            <w:vAlign w:val="center"/>
          </w:tcPr>
          <w:p w14:paraId="14BB78A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85" w:type="dxa"/>
            <w:vAlign w:val="center"/>
          </w:tcPr>
          <w:p w14:paraId="04C0FF8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r w14:paraId="29AEED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761C8A9F">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2</w:t>
            </w:r>
          </w:p>
        </w:tc>
        <w:tc>
          <w:tcPr>
            <w:tcW w:w="1691" w:type="dxa"/>
            <w:vAlign w:val="center"/>
          </w:tcPr>
          <w:p w14:paraId="4863FBDD">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三相电压跌落测试系统</w:t>
            </w:r>
          </w:p>
        </w:tc>
        <w:tc>
          <w:tcPr>
            <w:tcW w:w="949" w:type="dxa"/>
            <w:vAlign w:val="center"/>
          </w:tcPr>
          <w:p w14:paraId="74DE344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4227BE6C">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1650</w:t>
            </w:r>
            <w:r>
              <w:rPr>
                <w:rFonts w:ascii="宋体" w:hAnsi="宋体" w:eastAsia="宋体" w:cs="宋体"/>
                <w:sz w:val="24"/>
                <w:szCs w:val="24"/>
              </w:rPr>
              <w:t>000.00</w:t>
            </w:r>
          </w:p>
        </w:tc>
        <w:tc>
          <w:tcPr>
            <w:tcW w:w="1184" w:type="dxa"/>
            <w:vAlign w:val="center"/>
          </w:tcPr>
          <w:p w14:paraId="2F44F07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184" w:type="dxa"/>
            <w:vAlign w:val="center"/>
          </w:tcPr>
          <w:p w14:paraId="325B1D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85" w:type="dxa"/>
            <w:vAlign w:val="center"/>
          </w:tcPr>
          <w:p w14:paraId="4F70FAD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3B7CC508">
      <w:pPr>
        <w:pStyle w:val="14"/>
        <w:spacing w:line="360" w:lineRule="auto"/>
        <w:rPr>
          <w:rFonts w:hint="default" w:ascii="宋体" w:hAnsi="宋体" w:eastAsia="宋体" w:cs="宋体"/>
          <w:sz w:val="24"/>
          <w:szCs w:val="24"/>
        </w:rPr>
      </w:pPr>
    </w:p>
    <w:p w14:paraId="2DD09215">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p w14:paraId="6F4D9F3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采购包预算金额（元）: </w:t>
      </w:r>
      <w:r>
        <w:rPr>
          <w:rFonts w:ascii="宋体" w:hAnsi="宋体" w:eastAsia="宋体" w:cs="宋体"/>
          <w:sz w:val="24"/>
          <w:szCs w:val="24"/>
          <w:lang w:eastAsia="zh-CN"/>
        </w:rPr>
        <w:t>1580</w:t>
      </w:r>
      <w:r>
        <w:rPr>
          <w:rFonts w:ascii="宋体" w:hAnsi="宋体" w:eastAsia="宋体" w:cs="宋体"/>
          <w:sz w:val="24"/>
          <w:szCs w:val="24"/>
        </w:rPr>
        <w:t>000.00</w:t>
      </w:r>
    </w:p>
    <w:p w14:paraId="6F1F510F">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采购包最高限价（元）: </w:t>
      </w:r>
      <w:r>
        <w:rPr>
          <w:rFonts w:ascii="宋体" w:hAnsi="宋体" w:eastAsia="宋体" w:cs="宋体"/>
          <w:sz w:val="24"/>
          <w:szCs w:val="24"/>
          <w:lang w:eastAsia="zh-CN"/>
        </w:rPr>
        <w:t>1580</w:t>
      </w:r>
      <w:r>
        <w:rPr>
          <w:rFonts w:ascii="宋体" w:hAnsi="宋体" w:eastAsia="宋体" w:cs="宋体"/>
          <w:sz w:val="24"/>
          <w:szCs w:val="24"/>
        </w:rPr>
        <w:t>000.00</w:t>
      </w:r>
    </w:p>
    <w:p w14:paraId="7735C35D">
      <w:pPr>
        <w:pStyle w:val="14"/>
        <w:spacing w:line="360" w:lineRule="auto"/>
        <w:rPr>
          <w:rFonts w:hint="default" w:ascii="宋体" w:hAnsi="宋体" w:eastAsia="宋体" w:cs="宋体"/>
          <w:sz w:val="24"/>
          <w:szCs w:val="24"/>
        </w:rPr>
      </w:pPr>
      <w:r>
        <w:rPr>
          <w:rFonts w:ascii="宋体" w:hAnsi="宋体" w:eastAsia="宋体" w:cs="宋体"/>
          <w:sz w:val="24"/>
          <w:szCs w:val="24"/>
        </w:rPr>
        <w:t>采购包保证金金额（元）:</w:t>
      </w:r>
      <w:r>
        <w:rPr>
          <w:rFonts w:ascii="宋体" w:hAnsi="宋体" w:eastAsia="宋体" w:cs="宋体"/>
          <w:sz w:val="24"/>
          <w:szCs w:val="24"/>
          <w:lang w:eastAsia="zh-CN"/>
        </w:rPr>
        <w:t>15800</w:t>
      </w:r>
      <w:r>
        <w:rPr>
          <w:rFonts w:ascii="宋体" w:hAnsi="宋体" w:eastAsia="宋体" w:cs="宋体"/>
          <w:sz w:val="24"/>
          <w:szCs w:val="24"/>
        </w:rPr>
        <w:t>.00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13"/>
        <w:gridCol w:w="1691"/>
        <w:gridCol w:w="949"/>
        <w:gridCol w:w="1416"/>
        <w:gridCol w:w="1184"/>
        <w:gridCol w:w="1184"/>
        <w:gridCol w:w="1185"/>
      </w:tblGrid>
      <w:tr w14:paraId="06977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00D1F25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91" w:type="dxa"/>
            <w:vAlign w:val="center"/>
          </w:tcPr>
          <w:p w14:paraId="25938EB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标的名称</w:t>
            </w:r>
          </w:p>
        </w:tc>
        <w:tc>
          <w:tcPr>
            <w:tcW w:w="949" w:type="dxa"/>
            <w:vAlign w:val="center"/>
          </w:tcPr>
          <w:p w14:paraId="13F7AE8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数量</w:t>
            </w:r>
          </w:p>
        </w:tc>
        <w:tc>
          <w:tcPr>
            <w:tcW w:w="1416" w:type="dxa"/>
            <w:vAlign w:val="center"/>
          </w:tcPr>
          <w:p w14:paraId="5051BB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标的金额 （元）</w:t>
            </w:r>
          </w:p>
        </w:tc>
        <w:tc>
          <w:tcPr>
            <w:tcW w:w="1184" w:type="dxa"/>
            <w:vAlign w:val="center"/>
          </w:tcPr>
          <w:p w14:paraId="5125396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计量单位</w:t>
            </w:r>
          </w:p>
        </w:tc>
        <w:tc>
          <w:tcPr>
            <w:tcW w:w="1184" w:type="dxa"/>
            <w:vAlign w:val="center"/>
          </w:tcPr>
          <w:p w14:paraId="0CCCAE0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所属行业</w:t>
            </w:r>
          </w:p>
        </w:tc>
        <w:tc>
          <w:tcPr>
            <w:tcW w:w="1185" w:type="dxa"/>
            <w:vAlign w:val="center"/>
          </w:tcPr>
          <w:p w14:paraId="5E5760C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是否允许进口产品</w:t>
            </w:r>
          </w:p>
        </w:tc>
      </w:tr>
      <w:tr w14:paraId="61928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13" w:type="dxa"/>
            <w:vAlign w:val="center"/>
          </w:tcPr>
          <w:p w14:paraId="44E59EE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91" w:type="dxa"/>
            <w:vAlign w:val="center"/>
          </w:tcPr>
          <w:p w14:paraId="1086E1A5">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电力储能/电动汽车</w:t>
            </w:r>
            <w:r>
              <w:rPr>
                <w:rFonts w:ascii="宋体" w:hAnsi="宋体" w:eastAsia="宋体" w:cs="宋体"/>
                <w:color w:val="auto"/>
                <w:sz w:val="24"/>
                <w:szCs w:val="24"/>
                <w:highlight w:val="none"/>
                <w:lang w:eastAsia="zh-CN"/>
              </w:rPr>
              <w:t>B</w:t>
            </w:r>
            <w:r>
              <w:rPr>
                <w:rFonts w:hint="default" w:ascii="宋体" w:hAnsi="宋体" w:eastAsia="宋体" w:cs="宋体"/>
                <w:color w:val="auto"/>
                <w:sz w:val="24"/>
                <w:szCs w:val="24"/>
                <w:highlight w:val="none"/>
                <w:lang w:eastAsia="zh-CN"/>
              </w:rPr>
              <w:t>M</w:t>
            </w:r>
            <w:r>
              <w:rPr>
                <w:rFonts w:ascii="宋体" w:hAnsi="宋体" w:eastAsia="宋体" w:cs="宋体"/>
                <w:color w:val="auto"/>
                <w:sz w:val="24"/>
                <w:szCs w:val="24"/>
                <w:highlight w:val="none"/>
                <w:lang w:eastAsia="zh-CN"/>
              </w:rPr>
              <w:t>S测试系统</w:t>
            </w:r>
          </w:p>
        </w:tc>
        <w:tc>
          <w:tcPr>
            <w:tcW w:w="949" w:type="dxa"/>
            <w:vAlign w:val="center"/>
          </w:tcPr>
          <w:p w14:paraId="67095A1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1.00</w:t>
            </w:r>
          </w:p>
        </w:tc>
        <w:tc>
          <w:tcPr>
            <w:tcW w:w="1416" w:type="dxa"/>
            <w:vAlign w:val="center"/>
          </w:tcPr>
          <w:p w14:paraId="7320308A">
            <w:pPr>
              <w:pStyle w:val="14"/>
              <w:spacing w:line="360" w:lineRule="auto"/>
              <w:jc w:val="center"/>
              <w:rPr>
                <w:rFonts w:hint="default" w:ascii="宋体" w:hAnsi="宋体" w:eastAsia="宋体" w:cs="宋体"/>
                <w:sz w:val="24"/>
                <w:szCs w:val="24"/>
              </w:rPr>
            </w:pPr>
            <w:r>
              <w:rPr>
                <w:rFonts w:ascii="宋体" w:hAnsi="宋体" w:eastAsia="宋体" w:cs="宋体"/>
                <w:sz w:val="24"/>
                <w:szCs w:val="24"/>
                <w:lang w:eastAsia="zh-CN"/>
              </w:rPr>
              <w:t>1580</w:t>
            </w:r>
            <w:r>
              <w:rPr>
                <w:rFonts w:ascii="宋体" w:hAnsi="宋体" w:eastAsia="宋体" w:cs="宋体"/>
                <w:sz w:val="24"/>
                <w:szCs w:val="24"/>
              </w:rPr>
              <w:t>000.00</w:t>
            </w:r>
          </w:p>
        </w:tc>
        <w:tc>
          <w:tcPr>
            <w:tcW w:w="1184" w:type="dxa"/>
            <w:vAlign w:val="center"/>
          </w:tcPr>
          <w:p w14:paraId="53AABB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台套</w:t>
            </w:r>
          </w:p>
        </w:tc>
        <w:tc>
          <w:tcPr>
            <w:tcW w:w="1184" w:type="dxa"/>
            <w:vAlign w:val="center"/>
          </w:tcPr>
          <w:p w14:paraId="5737C41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工业</w:t>
            </w:r>
          </w:p>
        </w:tc>
        <w:tc>
          <w:tcPr>
            <w:tcW w:w="1185" w:type="dxa"/>
            <w:vAlign w:val="center"/>
          </w:tcPr>
          <w:p w14:paraId="694E67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否</w:t>
            </w:r>
          </w:p>
        </w:tc>
      </w:tr>
    </w:tbl>
    <w:p w14:paraId="3243214C">
      <w:pPr>
        <w:pStyle w:val="14"/>
        <w:spacing w:line="360" w:lineRule="auto"/>
        <w:jc w:val="center"/>
        <w:outlineLvl w:val="1"/>
        <w:rPr>
          <w:rFonts w:hint="default" w:ascii="宋体" w:hAnsi="宋体" w:eastAsia="宋体" w:cs="宋体"/>
          <w:b/>
          <w:sz w:val="28"/>
          <w:szCs w:val="28"/>
        </w:rPr>
      </w:pPr>
    </w:p>
    <w:p w14:paraId="238FDE25">
      <w:pPr>
        <w:pStyle w:val="14"/>
        <w:spacing w:line="360" w:lineRule="auto"/>
        <w:jc w:val="center"/>
        <w:outlineLvl w:val="1"/>
        <w:rPr>
          <w:rFonts w:hint="default" w:ascii="宋体" w:hAnsi="宋体" w:eastAsia="宋体" w:cs="宋体"/>
          <w:b/>
          <w:sz w:val="28"/>
          <w:szCs w:val="28"/>
        </w:rPr>
      </w:pPr>
    </w:p>
    <w:p w14:paraId="1A0618E5">
      <w:pPr>
        <w:pStyle w:val="14"/>
        <w:spacing w:line="360" w:lineRule="auto"/>
        <w:jc w:val="center"/>
        <w:outlineLvl w:val="1"/>
        <w:rPr>
          <w:rFonts w:hint="default" w:ascii="宋体" w:hAnsi="宋体" w:eastAsia="宋体" w:cs="宋体"/>
          <w:b/>
          <w:sz w:val="28"/>
          <w:szCs w:val="28"/>
        </w:rPr>
      </w:pPr>
    </w:p>
    <w:p w14:paraId="1D11CE9E">
      <w:pPr>
        <w:pStyle w:val="14"/>
        <w:spacing w:line="360" w:lineRule="auto"/>
        <w:jc w:val="center"/>
        <w:outlineLvl w:val="1"/>
        <w:rPr>
          <w:rFonts w:hint="default" w:ascii="宋体" w:hAnsi="宋体" w:eastAsia="宋体" w:cs="宋体"/>
          <w:b/>
          <w:sz w:val="28"/>
          <w:szCs w:val="28"/>
        </w:rPr>
      </w:pPr>
    </w:p>
    <w:p w14:paraId="5DBD1421">
      <w:pPr>
        <w:pStyle w:val="14"/>
        <w:spacing w:line="360" w:lineRule="auto"/>
        <w:jc w:val="center"/>
        <w:outlineLvl w:val="1"/>
        <w:rPr>
          <w:rFonts w:hint="default" w:ascii="宋体" w:hAnsi="宋体" w:eastAsia="宋体" w:cs="宋体"/>
          <w:b/>
          <w:sz w:val="28"/>
          <w:szCs w:val="28"/>
        </w:rPr>
      </w:pPr>
    </w:p>
    <w:p w14:paraId="2C2585C8">
      <w:pPr>
        <w:pStyle w:val="14"/>
        <w:spacing w:line="360" w:lineRule="auto"/>
        <w:jc w:val="center"/>
        <w:outlineLvl w:val="1"/>
        <w:rPr>
          <w:rFonts w:hint="default" w:ascii="宋体" w:hAnsi="宋体" w:eastAsia="宋体" w:cs="宋体"/>
          <w:b/>
          <w:sz w:val="28"/>
          <w:szCs w:val="28"/>
        </w:rPr>
      </w:pPr>
    </w:p>
    <w:p w14:paraId="67E81194">
      <w:pPr>
        <w:pStyle w:val="14"/>
        <w:spacing w:line="360" w:lineRule="auto"/>
        <w:jc w:val="center"/>
        <w:outlineLvl w:val="1"/>
        <w:rPr>
          <w:rFonts w:hint="default" w:ascii="宋体" w:hAnsi="宋体" w:eastAsia="宋体" w:cs="宋体"/>
          <w:b/>
          <w:sz w:val="28"/>
          <w:szCs w:val="28"/>
        </w:rPr>
      </w:pPr>
    </w:p>
    <w:p w14:paraId="75D4DADA">
      <w:pPr>
        <w:pStyle w:val="14"/>
        <w:spacing w:line="360" w:lineRule="auto"/>
        <w:jc w:val="center"/>
        <w:outlineLvl w:val="1"/>
        <w:rPr>
          <w:rFonts w:hint="default" w:ascii="宋体" w:hAnsi="宋体" w:eastAsia="宋体" w:cs="宋体"/>
          <w:b/>
          <w:sz w:val="28"/>
          <w:szCs w:val="28"/>
        </w:rPr>
      </w:pPr>
    </w:p>
    <w:p w14:paraId="351D64C6">
      <w:pPr>
        <w:pStyle w:val="14"/>
        <w:spacing w:line="360" w:lineRule="auto"/>
        <w:jc w:val="center"/>
        <w:outlineLvl w:val="1"/>
        <w:rPr>
          <w:rFonts w:hint="default" w:ascii="宋体" w:hAnsi="宋体" w:eastAsia="宋体" w:cs="宋体"/>
          <w:b/>
          <w:sz w:val="28"/>
          <w:szCs w:val="28"/>
        </w:rPr>
      </w:pPr>
    </w:p>
    <w:p w14:paraId="01C45C22">
      <w:pPr>
        <w:pStyle w:val="14"/>
        <w:spacing w:line="360" w:lineRule="auto"/>
        <w:jc w:val="center"/>
        <w:outlineLvl w:val="1"/>
        <w:rPr>
          <w:rFonts w:hint="default" w:ascii="宋体" w:hAnsi="宋体" w:eastAsia="宋体" w:cs="宋体"/>
          <w:b/>
          <w:sz w:val="28"/>
          <w:szCs w:val="28"/>
        </w:rPr>
      </w:pPr>
    </w:p>
    <w:p w14:paraId="67DB12E0">
      <w:pPr>
        <w:pStyle w:val="14"/>
        <w:spacing w:line="360" w:lineRule="auto"/>
        <w:jc w:val="center"/>
        <w:outlineLvl w:val="1"/>
        <w:rPr>
          <w:rFonts w:hint="default" w:ascii="宋体" w:hAnsi="宋体" w:eastAsia="宋体" w:cs="宋体"/>
          <w:b/>
          <w:sz w:val="28"/>
          <w:szCs w:val="28"/>
        </w:rPr>
      </w:pPr>
    </w:p>
    <w:p w14:paraId="05120983">
      <w:pPr>
        <w:pStyle w:val="14"/>
        <w:spacing w:line="360" w:lineRule="auto"/>
        <w:jc w:val="center"/>
        <w:outlineLvl w:val="1"/>
        <w:rPr>
          <w:rFonts w:hint="default" w:ascii="宋体" w:hAnsi="宋体" w:eastAsia="宋体" w:cs="宋体"/>
          <w:b/>
          <w:sz w:val="28"/>
          <w:szCs w:val="28"/>
        </w:rPr>
      </w:pPr>
    </w:p>
    <w:p w14:paraId="5459F2D6">
      <w:pPr>
        <w:pStyle w:val="14"/>
        <w:spacing w:line="360" w:lineRule="auto"/>
        <w:jc w:val="center"/>
        <w:outlineLvl w:val="1"/>
        <w:rPr>
          <w:rFonts w:hint="default" w:ascii="宋体" w:hAnsi="宋体" w:eastAsia="宋体" w:cs="宋体"/>
          <w:b/>
          <w:sz w:val="28"/>
          <w:szCs w:val="28"/>
        </w:rPr>
      </w:pPr>
    </w:p>
    <w:p w14:paraId="5EA68836">
      <w:pPr>
        <w:pStyle w:val="14"/>
        <w:spacing w:line="360" w:lineRule="auto"/>
        <w:jc w:val="center"/>
        <w:outlineLvl w:val="1"/>
        <w:rPr>
          <w:rFonts w:hint="default" w:ascii="宋体" w:hAnsi="宋体" w:eastAsia="宋体" w:cs="宋体"/>
          <w:b/>
          <w:sz w:val="28"/>
          <w:szCs w:val="28"/>
        </w:rPr>
      </w:pPr>
    </w:p>
    <w:p w14:paraId="62FC5117">
      <w:pPr>
        <w:pStyle w:val="14"/>
        <w:spacing w:line="360" w:lineRule="auto"/>
        <w:jc w:val="center"/>
        <w:outlineLvl w:val="1"/>
        <w:rPr>
          <w:rFonts w:hint="default" w:ascii="宋体" w:hAnsi="宋体" w:eastAsia="宋体" w:cs="宋体"/>
          <w:b/>
          <w:sz w:val="28"/>
          <w:szCs w:val="28"/>
        </w:rPr>
      </w:pPr>
    </w:p>
    <w:p w14:paraId="4FC0709C">
      <w:pPr>
        <w:pStyle w:val="14"/>
        <w:spacing w:line="360" w:lineRule="auto"/>
        <w:jc w:val="center"/>
        <w:outlineLvl w:val="1"/>
        <w:rPr>
          <w:rFonts w:hint="default" w:ascii="宋体" w:hAnsi="宋体" w:eastAsia="宋体" w:cs="宋体"/>
          <w:b/>
          <w:sz w:val="28"/>
          <w:szCs w:val="28"/>
        </w:rPr>
      </w:pPr>
      <w:r>
        <w:rPr>
          <w:rFonts w:ascii="宋体" w:hAnsi="宋体" w:eastAsia="宋体" w:cs="宋体"/>
          <w:b/>
          <w:sz w:val="28"/>
          <w:szCs w:val="28"/>
        </w:rPr>
        <w:t>第二章 投标人须知前附表</w:t>
      </w:r>
    </w:p>
    <w:p w14:paraId="4426630D">
      <w:pPr>
        <w:pStyle w:val="14"/>
        <w:spacing w:line="360" w:lineRule="auto"/>
        <w:jc w:val="center"/>
        <w:outlineLvl w:val="1"/>
        <w:rPr>
          <w:rFonts w:hint="default" w:ascii="宋体" w:hAnsi="宋体" w:eastAsia="宋体" w:cs="宋体"/>
          <w:b/>
          <w:sz w:val="28"/>
          <w:szCs w:val="28"/>
        </w:rPr>
      </w:pPr>
      <w:r>
        <w:rPr>
          <w:rFonts w:ascii="宋体" w:hAnsi="宋体" w:eastAsia="宋体" w:cs="宋体"/>
          <w:b/>
          <w:sz w:val="28"/>
          <w:szCs w:val="28"/>
        </w:rPr>
        <w:t>一、投标人须知前附表1</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1338"/>
        <w:gridCol w:w="6875"/>
      </w:tblGrid>
      <w:tr w14:paraId="60A9A7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18" w:type="dxa"/>
            <w:gridSpan w:val="3"/>
          </w:tcPr>
          <w:p w14:paraId="1B091CC5">
            <w:pPr>
              <w:pStyle w:val="14"/>
              <w:spacing w:line="360" w:lineRule="auto"/>
              <w:rPr>
                <w:rFonts w:hint="default" w:ascii="宋体" w:hAnsi="宋体" w:eastAsia="宋体" w:cs="宋体"/>
                <w:sz w:val="24"/>
                <w:szCs w:val="24"/>
              </w:rPr>
            </w:pPr>
            <w:r>
              <w:rPr>
                <w:rFonts w:ascii="宋体" w:hAnsi="宋体" w:eastAsia="宋体" w:cs="宋体"/>
                <w:sz w:val="24"/>
                <w:szCs w:val="24"/>
              </w:rPr>
              <w:t>特别提示：本表与招标文件对应章节的内容若不一致，以本表为准。</w:t>
            </w:r>
          </w:p>
        </w:tc>
      </w:tr>
      <w:tr w14:paraId="4DE81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00806E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338" w:type="dxa"/>
            <w:vAlign w:val="center"/>
          </w:tcPr>
          <w:p w14:paraId="32469ED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招标文件</w:t>
            </w:r>
          </w:p>
          <w:p w14:paraId="2548D37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（第三章）</w:t>
            </w:r>
          </w:p>
        </w:tc>
        <w:tc>
          <w:tcPr>
            <w:tcW w:w="6875" w:type="dxa"/>
          </w:tcPr>
          <w:p w14:paraId="54A63DE0">
            <w:pPr>
              <w:pStyle w:val="14"/>
              <w:spacing w:line="360" w:lineRule="auto"/>
              <w:rPr>
                <w:rFonts w:hint="default" w:ascii="宋体" w:hAnsi="宋体" w:eastAsia="宋体" w:cs="宋体"/>
                <w:sz w:val="24"/>
                <w:szCs w:val="24"/>
              </w:rPr>
            </w:pPr>
            <w:r>
              <w:rPr>
                <w:rFonts w:ascii="宋体" w:hAnsi="宋体" w:eastAsia="宋体" w:cs="宋体"/>
                <w:sz w:val="24"/>
                <w:szCs w:val="24"/>
              </w:rPr>
              <w:t>编列内容</w:t>
            </w:r>
          </w:p>
        </w:tc>
      </w:tr>
      <w:tr w14:paraId="0B991E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099A2BB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338" w:type="dxa"/>
            <w:vAlign w:val="center"/>
          </w:tcPr>
          <w:p w14:paraId="7C547A1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6.1</w:t>
            </w:r>
          </w:p>
        </w:tc>
        <w:tc>
          <w:tcPr>
            <w:tcW w:w="6875" w:type="dxa"/>
          </w:tcPr>
          <w:p w14:paraId="27F9D78E">
            <w:pPr>
              <w:pStyle w:val="14"/>
              <w:spacing w:line="360" w:lineRule="auto"/>
              <w:rPr>
                <w:rFonts w:hint="default" w:ascii="宋体" w:hAnsi="宋体" w:eastAsia="宋体" w:cs="宋体"/>
                <w:sz w:val="24"/>
                <w:szCs w:val="24"/>
              </w:rPr>
            </w:pPr>
            <w:r>
              <w:rPr>
                <w:rFonts w:ascii="宋体" w:hAnsi="宋体" w:eastAsia="宋体" w:cs="宋体"/>
                <w:sz w:val="24"/>
                <w:szCs w:val="24"/>
              </w:rPr>
              <w:t>是否组织现场考察或召开开标前答疑会：</w:t>
            </w:r>
          </w:p>
          <w:p w14:paraId="4A904C38">
            <w:pPr>
              <w:pStyle w:val="14"/>
              <w:spacing w:line="360" w:lineRule="auto"/>
              <w:rPr>
                <w:rFonts w:hint="default" w:ascii="宋体" w:hAnsi="宋体" w:eastAsia="宋体" w:cs="宋体"/>
                <w:sz w:val="24"/>
                <w:szCs w:val="24"/>
              </w:rPr>
            </w:pPr>
            <w:r>
              <w:rPr>
                <w:rFonts w:ascii="宋体" w:hAnsi="宋体" w:eastAsia="宋体" w:cs="宋体"/>
                <w:sz w:val="24"/>
                <w:szCs w:val="24"/>
              </w:rPr>
              <w:t>采购包1：不组织</w:t>
            </w:r>
          </w:p>
          <w:p w14:paraId="456EEE7B">
            <w:pPr>
              <w:pStyle w:val="14"/>
              <w:spacing w:line="360" w:lineRule="auto"/>
              <w:rPr>
                <w:rFonts w:hint="default" w:ascii="宋体" w:hAnsi="宋体" w:eastAsia="宋体" w:cs="宋体"/>
                <w:sz w:val="24"/>
                <w:szCs w:val="24"/>
              </w:rPr>
            </w:pPr>
            <w:r>
              <w:rPr>
                <w:rFonts w:ascii="宋体" w:hAnsi="宋体" w:eastAsia="宋体" w:cs="宋体"/>
                <w:sz w:val="24"/>
                <w:szCs w:val="24"/>
              </w:rPr>
              <w:t>采购包2：不组织</w:t>
            </w:r>
          </w:p>
          <w:p w14:paraId="6643554A">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：不组织</w:t>
            </w:r>
          </w:p>
          <w:p w14:paraId="3C3AB049">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：不组织</w:t>
            </w:r>
          </w:p>
          <w:p w14:paraId="4CA04842">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：不组织</w:t>
            </w:r>
          </w:p>
        </w:tc>
      </w:tr>
      <w:tr w14:paraId="48F0E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EC13BF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338" w:type="dxa"/>
            <w:vAlign w:val="center"/>
          </w:tcPr>
          <w:p w14:paraId="2CC3049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10.4</w:t>
            </w:r>
          </w:p>
        </w:tc>
        <w:tc>
          <w:tcPr>
            <w:tcW w:w="6875" w:type="dxa"/>
          </w:tcPr>
          <w:p w14:paraId="3D08021A">
            <w:pPr>
              <w:pStyle w:val="14"/>
              <w:spacing w:line="360" w:lineRule="auto"/>
              <w:rPr>
                <w:rFonts w:hint="default" w:ascii="宋体" w:hAnsi="宋体" w:eastAsia="宋体" w:cs="宋体"/>
                <w:sz w:val="24"/>
                <w:szCs w:val="24"/>
              </w:rPr>
            </w:pPr>
            <w:r>
              <w:rPr>
                <w:rFonts w:ascii="宋体" w:hAnsi="宋体" w:eastAsia="宋体" w:cs="宋体"/>
                <w:sz w:val="24"/>
                <w:szCs w:val="24"/>
              </w:rPr>
              <w:t>投标文件的份数：</w:t>
            </w:r>
          </w:p>
          <w:p w14:paraId="1B65F29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（1）可读介质（光盘或U盘） 0 份：投标人应将其上传至福建省政府采购网上公开信息系统的电子投标文件在该可读介质中另存 0 份。</w:t>
            </w:r>
          </w:p>
          <w:p w14:paraId="0D3F9482">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（2）电子投标文件：详见投标人须知前附表2《关于电子招标投标活动的专门规定》。</w:t>
            </w:r>
          </w:p>
        </w:tc>
      </w:tr>
      <w:tr w14:paraId="7CDFC0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4B7DC19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338" w:type="dxa"/>
            <w:vAlign w:val="center"/>
          </w:tcPr>
          <w:p w14:paraId="35F9EA6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10.7-（1）</w:t>
            </w:r>
          </w:p>
        </w:tc>
        <w:tc>
          <w:tcPr>
            <w:tcW w:w="6875" w:type="dxa"/>
          </w:tcPr>
          <w:p w14:paraId="70405360">
            <w:pPr>
              <w:pStyle w:val="14"/>
              <w:spacing w:line="360" w:lineRule="auto"/>
              <w:rPr>
                <w:rFonts w:hint="default" w:ascii="宋体" w:hAnsi="宋体" w:eastAsia="宋体" w:cs="宋体"/>
                <w:sz w:val="24"/>
                <w:szCs w:val="24"/>
              </w:rPr>
            </w:pPr>
            <w:r>
              <w:rPr>
                <w:rFonts w:ascii="宋体" w:hAnsi="宋体" w:eastAsia="宋体" w:cs="宋体"/>
                <w:sz w:val="24"/>
                <w:szCs w:val="24"/>
              </w:rPr>
              <w:t>是否允许中标人将本项目的非主体、非关键性工作进行分包：</w:t>
            </w:r>
          </w:p>
          <w:p w14:paraId="2F87478C">
            <w:pPr>
              <w:pStyle w:val="14"/>
              <w:spacing w:line="360" w:lineRule="auto"/>
              <w:rPr>
                <w:rFonts w:hint="default" w:ascii="宋体" w:hAnsi="宋体" w:eastAsia="宋体" w:cs="宋体"/>
                <w:sz w:val="24"/>
                <w:szCs w:val="24"/>
              </w:rPr>
            </w:pPr>
            <w:r>
              <w:rPr>
                <w:rFonts w:ascii="宋体" w:hAnsi="宋体" w:eastAsia="宋体" w:cs="宋体"/>
                <w:sz w:val="24"/>
                <w:szCs w:val="24"/>
              </w:rPr>
              <w:t>采购包1：不允许合同分包；</w:t>
            </w:r>
          </w:p>
          <w:p w14:paraId="28825131">
            <w:pPr>
              <w:pStyle w:val="14"/>
              <w:spacing w:line="360" w:lineRule="auto"/>
              <w:rPr>
                <w:rFonts w:hint="default" w:ascii="宋体" w:hAnsi="宋体" w:eastAsia="宋体" w:cs="宋体"/>
                <w:sz w:val="24"/>
                <w:szCs w:val="24"/>
              </w:rPr>
            </w:pPr>
            <w:r>
              <w:rPr>
                <w:rFonts w:ascii="宋体" w:hAnsi="宋体" w:eastAsia="宋体" w:cs="宋体"/>
                <w:sz w:val="24"/>
                <w:szCs w:val="24"/>
              </w:rPr>
              <w:t>采购包2：不允许合同分包；</w:t>
            </w:r>
          </w:p>
          <w:p w14:paraId="169F78A9">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：不允许合同分包；</w:t>
            </w:r>
          </w:p>
          <w:p w14:paraId="55332C9A">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：不允许合同分包；</w:t>
            </w:r>
          </w:p>
          <w:p w14:paraId="221D6A39">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：不允许合同分包；</w:t>
            </w:r>
          </w:p>
        </w:tc>
      </w:tr>
      <w:tr w14:paraId="4AD74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6982D3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338" w:type="dxa"/>
            <w:vAlign w:val="center"/>
          </w:tcPr>
          <w:p w14:paraId="35364F5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10.8-（1）</w:t>
            </w:r>
          </w:p>
        </w:tc>
        <w:tc>
          <w:tcPr>
            <w:tcW w:w="6875" w:type="dxa"/>
          </w:tcPr>
          <w:p w14:paraId="3A2BD5F8">
            <w:pPr>
              <w:pStyle w:val="14"/>
              <w:spacing w:line="360" w:lineRule="auto"/>
              <w:rPr>
                <w:rFonts w:hint="default" w:ascii="宋体" w:hAnsi="宋体" w:eastAsia="宋体" w:cs="宋体"/>
                <w:sz w:val="24"/>
                <w:szCs w:val="24"/>
              </w:rPr>
            </w:pPr>
            <w:r>
              <w:rPr>
                <w:rFonts w:ascii="宋体" w:hAnsi="宋体" w:eastAsia="宋体" w:cs="宋体"/>
                <w:sz w:val="24"/>
                <w:szCs w:val="24"/>
              </w:rPr>
              <w:t>投标有效期：投标截止时间起 90 个日历日。</w:t>
            </w:r>
          </w:p>
        </w:tc>
      </w:tr>
      <w:tr w14:paraId="5AC3E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5751ACC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338" w:type="dxa"/>
            <w:vAlign w:val="center"/>
          </w:tcPr>
          <w:p w14:paraId="39C651D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12.1</w:t>
            </w:r>
          </w:p>
        </w:tc>
        <w:tc>
          <w:tcPr>
            <w:tcW w:w="6875" w:type="dxa"/>
          </w:tcPr>
          <w:p w14:paraId="14875297">
            <w:pPr>
              <w:pStyle w:val="14"/>
              <w:spacing w:line="360" w:lineRule="auto"/>
              <w:rPr>
                <w:rFonts w:hint="default" w:ascii="宋体" w:hAnsi="宋体" w:eastAsia="宋体" w:cs="宋体"/>
                <w:sz w:val="24"/>
                <w:szCs w:val="24"/>
              </w:rPr>
            </w:pPr>
            <w:r>
              <w:rPr>
                <w:rFonts w:ascii="宋体" w:hAnsi="宋体" w:eastAsia="宋体" w:cs="宋体"/>
                <w:sz w:val="24"/>
                <w:szCs w:val="24"/>
              </w:rPr>
              <w:t>确定中标候选人名单：</w:t>
            </w:r>
          </w:p>
          <w:p w14:paraId="475202BB">
            <w:pPr>
              <w:pStyle w:val="14"/>
              <w:spacing w:line="360" w:lineRule="auto"/>
              <w:rPr>
                <w:rFonts w:hint="default" w:ascii="宋体" w:hAnsi="宋体" w:eastAsia="宋体" w:cs="宋体"/>
                <w:sz w:val="24"/>
                <w:szCs w:val="24"/>
              </w:rPr>
            </w:pPr>
            <w:r>
              <w:rPr>
                <w:rFonts w:ascii="宋体" w:hAnsi="宋体" w:eastAsia="宋体" w:cs="宋体"/>
                <w:sz w:val="24"/>
                <w:szCs w:val="24"/>
              </w:rPr>
              <w:t>采购包1：1名</w:t>
            </w:r>
          </w:p>
          <w:p w14:paraId="473E147A">
            <w:pPr>
              <w:pStyle w:val="14"/>
              <w:spacing w:line="360" w:lineRule="auto"/>
              <w:rPr>
                <w:rFonts w:hint="default" w:ascii="宋体" w:hAnsi="宋体" w:eastAsia="宋体" w:cs="宋体"/>
                <w:sz w:val="24"/>
                <w:szCs w:val="24"/>
              </w:rPr>
            </w:pPr>
            <w:r>
              <w:rPr>
                <w:rFonts w:ascii="宋体" w:hAnsi="宋体" w:eastAsia="宋体" w:cs="宋体"/>
                <w:sz w:val="24"/>
                <w:szCs w:val="24"/>
              </w:rPr>
              <w:t>采购包2：1名</w:t>
            </w:r>
          </w:p>
          <w:p w14:paraId="15676D18">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：1名</w:t>
            </w:r>
          </w:p>
          <w:p w14:paraId="131A615E">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：1名</w:t>
            </w:r>
          </w:p>
          <w:p w14:paraId="19A827E5">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：1名</w:t>
            </w:r>
          </w:p>
        </w:tc>
      </w:tr>
      <w:tr w14:paraId="59D9EE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344636F7">
            <w:pPr>
              <w:pStyle w:val="14"/>
              <w:spacing w:line="360" w:lineRule="auto"/>
              <w:jc w:val="center"/>
              <w:rPr>
                <w:rFonts w:hint="default" w:ascii="宋体" w:hAnsi="宋体" w:eastAsia="宋体" w:cs="宋体"/>
                <w:sz w:val="24"/>
                <w:szCs w:val="24"/>
              </w:rPr>
            </w:pPr>
            <w:r>
              <w:rPr>
                <w:rFonts w:hint="default" w:ascii="宋体" w:hAnsi="宋体" w:eastAsia="宋体" w:cs="宋体"/>
                <w:sz w:val="24"/>
                <w:szCs w:val="24"/>
              </w:rPr>
              <w:t>0</w:t>
            </w:r>
            <w:r>
              <w:rPr>
                <w:rFonts w:ascii="宋体" w:hAnsi="宋体" w:eastAsia="宋体" w:cs="宋体"/>
                <w:sz w:val="24"/>
                <w:szCs w:val="24"/>
              </w:rPr>
              <w:t>6</w:t>
            </w:r>
          </w:p>
        </w:tc>
        <w:tc>
          <w:tcPr>
            <w:tcW w:w="1338" w:type="dxa"/>
            <w:vAlign w:val="center"/>
          </w:tcPr>
          <w:p w14:paraId="5DD85E8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12.2</w:t>
            </w:r>
          </w:p>
        </w:tc>
        <w:tc>
          <w:tcPr>
            <w:tcW w:w="6875" w:type="dxa"/>
          </w:tcPr>
          <w:p w14:paraId="1E286AC1">
            <w:pPr>
              <w:pStyle w:val="14"/>
              <w:spacing w:line="360" w:lineRule="auto"/>
              <w:rPr>
                <w:rFonts w:hint="default" w:ascii="宋体" w:hAnsi="宋体" w:eastAsia="宋体" w:cs="宋体"/>
                <w:sz w:val="24"/>
                <w:szCs w:val="24"/>
              </w:rPr>
            </w:pPr>
            <w:r>
              <w:rPr>
                <w:rFonts w:ascii="宋体" w:hAnsi="宋体" w:eastAsia="宋体" w:cs="宋体"/>
                <w:sz w:val="24"/>
                <w:szCs w:val="24"/>
              </w:rPr>
              <w:t>本项目中标人的确定（以采购包为单位）：</w:t>
            </w:r>
          </w:p>
          <w:p w14:paraId="5DD3D787">
            <w:pPr>
              <w:pStyle w:val="14"/>
              <w:spacing w:line="360" w:lineRule="auto"/>
              <w:rPr>
                <w:rFonts w:hint="default" w:ascii="宋体" w:hAnsi="宋体" w:eastAsia="宋体" w:cs="宋体"/>
                <w:sz w:val="24"/>
                <w:szCs w:val="24"/>
              </w:rPr>
            </w:pPr>
            <w:r>
              <w:rPr>
                <w:rFonts w:ascii="宋体" w:hAnsi="宋体" w:eastAsia="宋体" w:cs="宋体"/>
                <w:sz w:val="24"/>
                <w:szCs w:val="24"/>
              </w:rPr>
              <w:t>（1） 采购人应在政府采购招投标管理办法规定的时限内确定中标人。</w:t>
            </w:r>
          </w:p>
          <w:p w14:paraId="55B8AEA4">
            <w:pPr>
              <w:pStyle w:val="14"/>
              <w:spacing w:line="360" w:lineRule="auto"/>
              <w:rPr>
                <w:rFonts w:hint="default" w:ascii="宋体" w:hAnsi="宋体" w:eastAsia="宋体" w:cs="宋体"/>
                <w:sz w:val="24"/>
                <w:szCs w:val="24"/>
              </w:rPr>
            </w:pPr>
            <w:r>
              <w:rPr>
                <w:rFonts w:ascii="宋体" w:hAnsi="宋体" w:eastAsia="宋体" w:cs="宋体"/>
                <w:sz w:val="24"/>
                <w:szCs w:val="24"/>
              </w:rPr>
              <w:t>（2）若出现中标候选人并列情形，则按照下列方式确定中标人：</w:t>
            </w:r>
          </w:p>
          <w:p w14:paraId="40A0FB17">
            <w:pPr>
              <w:pStyle w:val="14"/>
              <w:spacing w:line="360" w:lineRule="auto"/>
              <w:rPr>
                <w:rFonts w:hint="default" w:ascii="宋体" w:hAnsi="宋体" w:eastAsia="宋体" w:cs="宋体"/>
                <w:sz w:val="24"/>
                <w:szCs w:val="24"/>
              </w:rPr>
            </w:pPr>
            <w:r>
              <w:rPr>
                <w:rFonts w:ascii="宋体" w:hAnsi="宋体" w:eastAsia="宋体" w:cs="宋体"/>
                <w:sz w:val="24"/>
                <w:szCs w:val="24"/>
              </w:rPr>
              <w:t>①招标文件规定的方式：</w:t>
            </w:r>
          </w:p>
          <w:p w14:paraId="3ECE3477">
            <w:pPr>
              <w:pStyle w:val="14"/>
              <w:spacing w:line="360" w:lineRule="auto"/>
              <w:rPr>
                <w:rFonts w:hint="default" w:ascii="宋体" w:hAnsi="宋体" w:eastAsia="宋体" w:cs="宋体"/>
                <w:sz w:val="24"/>
                <w:szCs w:val="24"/>
              </w:rPr>
            </w:pPr>
            <w:r>
              <w:rPr>
                <w:rFonts w:ascii="宋体" w:hAnsi="宋体" w:eastAsia="宋体" w:cs="宋体"/>
                <w:sz w:val="24"/>
                <w:szCs w:val="24"/>
              </w:rPr>
              <w:t>①招标文件规定的方式： 投标人评标总得分（FA）相同的并列，则按照评标价（即价格扣除后的投标报价）由低到高顺序排列推荐中标候选人；投标人评标总得分（FA）且评标价（即价格扣除后的投标报价）相同的并列，则按技术项的得分从高到低顺序排列推荐中标候选人；若投标人的评标总得分（FA）且评标价（即价格扣除后的投标报价）相同、技术项的得分也相同的，则评标委员会在有关监督人员的监督下通过随机抽取的形式，确定排名顺序。</w:t>
            </w:r>
          </w:p>
          <w:p w14:paraId="2E28C75F">
            <w:pPr>
              <w:pStyle w:val="14"/>
              <w:spacing w:line="360" w:lineRule="auto"/>
              <w:rPr>
                <w:rFonts w:hint="default" w:ascii="宋体" w:hAnsi="宋体" w:eastAsia="宋体" w:cs="宋体"/>
                <w:sz w:val="24"/>
                <w:szCs w:val="24"/>
              </w:rPr>
            </w:pPr>
            <w:r>
              <w:rPr>
                <w:rFonts w:ascii="宋体" w:hAnsi="宋体" w:eastAsia="宋体" w:cs="宋体"/>
                <w:sz w:val="24"/>
                <w:szCs w:val="24"/>
              </w:rPr>
              <w:t>②若本款第①点规定方式为“无”，则按照下列方式确定：</w:t>
            </w:r>
          </w:p>
          <w:p w14:paraId="4ED3C0D4">
            <w:pPr>
              <w:pStyle w:val="14"/>
              <w:spacing w:line="360" w:lineRule="auto"/>
              <w:rPr>
                <w:rFonts w:hint="default" w:ascii="宋体" w:hAnsi="宋体" w:eastAsia="宋体" w:cs="宋体"/>
                <w:sz w:val="24"/>
                <w:szCs w:val="24"/>
              </w:rPr>
            </w:pPr>
            <w:r>
              <w:rPr>
                <w:rFonts w:ascii="宋体" w:hAnsi="宋体" w:eastAsia="宋体" w:cs="宋体"/>
                <w:sz w:val="24"/>
                <w:szCs w:val="24"/>
              </w:rPr>
              <w:t>无</w:t>
            </w:r>
          </w:p>
          <w:p w14:paraId="7A623692">
            <w:pPr>
              <w:pStyle w:val="14"/>
              <w:spacing w:line="360" w:lineRule="auto"/>
              <w:rPr>
                <w:rFonts w:hint="default" w:ascii="宋体" w:hAnsi="宋体" w:eastAsia="宋体" w:cs="宋体"/>
                <w:sz w:val="24"/>
                <w:szCs w:val="24"/>
              </w:rPr>
            </w:pPr>
            <w:r>
              <w:rPr>
                <w:rFonts w:ascii="宋体" w:hAnsi="宋体" w:eastAsia="宋体" w:cs="宋体"/>
                <w:sz w:val="24"/>
                <w:szCs w:val="24"/>
              </w:rPr>
              <w:t>③若本款第①、②点规定方式均为“无”，则按照下列方式确定：随机抽取。</w:t>
            </w:r>
          </w:p>
          <w:p w14:paraId="24538E1F">
            <w:pPr>
              <w:pStyle w:val="14"/>
              <w:spacing w:line="360" w:lineRule="auto"/>
              <w:rPr>
                <w:rFonts w:hint="default" w:ascii="宋体" w:hAnsi="宋体" w:eastAsia="宋体" w:cs="宋体"/>
                <w:sz w:val="24"/>
                <w:szCs w:val="24"/>
              </w:rPr>
            </w:pPr>
            <w:r>
              <w:rPr>
                <w:rFonts w:ascii="宋体" w:hAnsi="宋体" w:eastAsia="宋体" w:cs="宋体"/>
                <w:sz w:val="24"/>
                <w:szCs w:val="24"/>
              </w:rPr>
              <w:t>（3）本项目确定的中标人家数：</w:t>
            </w:r>
          </w:p>
          <w:p w14:paraId="6AFBD57A">
            <w:pPr>
              <w:pStyle w:val="14"/>
              <w:spacing w:line="360" w:lineRule="auto"/>
              <w:rPr>
                <w:rFonts w:hint="default" w:ascii="宋体" w:hAnsi="宋体" w:eastAsia="宋体" w:cs="宋体"/>
                <w:sz w:val="24"/>
                <w:szCs w:val="24"/>
              </w:rPr>
            </w:pPr>
            <w:r>
              <w:rPr>
                <w:rFonts w:ascii="宋体" w:hAnsi="宋体" w:eastAsia="宋体" w:cs="宋体"/>
                <w:sz w:val="24"/>
                <w:szCs w:val="24"/>
              </w:rPr>
              <w:t>采购包1：1名</w:t>
            </w:r>
          </w:p>
          <w:p w14:paraId="73B34553">
            <w:pPr>
              <w:pStyle w:val="14"/>
              <w:spacing w:line="360" w:lineRule="auto"/>
              <w:rPr>
                <w:rFonts w:hint="default" w:ascii="宋体" w:hAnsi="宋体" w:eastAsia="宋体" w:cs="宋体"/>
                <w:sz w:val="24"/>
                <w:szCs w:val="24"/>
              </w:rPr>
            </w:pPr>
            <w:r>
              <w:rPr>
                <w:rFonts w:ascii="宋体" w:hAnsi="宋体" w:eastAsia="宋体" w:cs="宋体"/>
                <w:sz w:val="24"/>
                <w:szCs w:val="24"/>
              </w:rPr>
              <w:t>采购包2：1名</w:t>
            </w:r>
          </w:p>
          <w:p w14:paraId="32CEB828">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：1名</w:t>
            </w:r>
          </w:p>
          <w:p w14:paraId="37D3D1B0">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：1名</w:t>
            </w:r>
          </w:p>
          <w:p w14:paraId="45725E1D">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：1名</w:t>
            </w:r>
          </w:p>
        </w:tc>
      </w:tr>
      <w:tr w14:paraId="11E86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7C0260B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338" w:type="dxa"/>
            <w:vAlign w:val="center"/>
          </w:tcPr>
          <w:p w14:paraId="1FDB1AD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13.2</w:t>
            </w:r>
          </w:p>
        </w:tc>
        <w:tc>
          <w:tcPr>
            <w:tcW w:w="6875" w:type="dxa"/>
          </w:tcPr>
          <w:p w14:paraId="7DD5705C">
            <w:pPr>
              <w:pStyle w:val="14"/>
              <w:spacing w:line="360" w:lineRule="auto"/>
              <w:rPr>
                <w:rFonts w:hint="default" w:ascii="宋体" w:hAnsi="宋体" w:eastAsia="宋体" w:cs="宋体"/>
                <w:sz w:val="24"/>
                <w:szCs w:val="24"/>
              </w:rPr>
            </w:pPr>
            <w:r>
              <w:rPr>
                <w:rFonts w:ascii="宋体" w:hAnsi="宋体" w:eastAsia="宋体" w:cs="宋体"/>
                <w:sz w:val="24"/>
                <w:szCs w:val="24"/>
              </w:rPr>
              <w:t>合同签订时限：自中标通知书发出之日起30个日历日内。</w:t>
            </w:r>
          </w:p>
        </w:tc>
      </w:tr>
      <w:tr w14:paraId="0778BC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5751B4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8</w:t>
            </w:r>
          </w:p>
        </w:tc>
        <w:tc>
          <w:tcPr>
            <w:tcW w:w="1338" w:type="dxa"/>
            <w:vAlign w:val="center"/>
          </w:tcPr>
          <w:p w14:paraId="4333850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15.1-（2）</w:t>
            </w:r>
          </w:p>
        </w:tc>
        <w:tc>
          <w:tcPr>
            <w:tcW w:w="6875" w:type="dxa"/>
          </w:tcPr>
          <w:p w14:paraId="151795D7">
            <w:pPr>
              <w:pStyle w:val="14"/>
              <w:spacing w:line="360" w:lineRule="auto"/>
              <w:rPr>
                <w:rFonts w:hint="default" w:ascii="宋体" w:hAnsi="宋体" w:eastAsia="宋体" w:cs="宋体"/>
                <w:sz w:val="24"/>
                <w:szCs w:val="24"/>
              </w:rPr>
            </w:pPr>
            <w:r>
              <w:rPr>
                <w:rFonts w:ascii="宋体" w:hAnsi="宋体" w:eastAsia="宋体" w:cs="宋体"/>
                <w:sz w:val="24"/>
                <w:szCs w:val="24"/>
              </w:rPr>
              <w:t>质疑函原件应采用下列方式提交：书面形式。</w:t>
            </w:r>
          </w:p>
        </w:tc>
      </w:tr>
      <w:tr w14:paraId="35057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42221EA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9</w:t>
            </w:r>
          </w:p>
        </w:tc>
        <w:tc>
          <w:tcPr>
            <w:tcW w:w="1338" w:type="dxa"/>
            <w:vAlign w:val="center"/>
          </w:tcPr>
          <w:p w14:paraId="29B4D0A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15.4</w:t>
            </w:r>
          </w:p>
        </w:tc>
        <w:tc>
          <w:tcPr>
            <w:tcW w:w="6875" w:type="dxa"/>
          </w:tcPr>
          <w:p w14:paraId="0F9EED1D">
            <w:pPr>
              <w:pStyle w:val="14"/>
              <w:spacing w:line="360" w:lineRule="auto"/>
              <w:rPr>
                <w:rFonts w:hint="default" w:ascii="宋体" w:hAnsi="宋体" w:eastAsia="宋体" w:cs="宋体"/>
                <w:sz w:val="24"/>
                <w:szCs w:val="24"/>
              </w:rPr>
            </w:pPr>
            <w:r>
              <w:rPr>
                <w:rFonts w:ascii="宋体" w:hAnsi="宋体" w:eastAsia="宋体" w:cs="宋体"/>
                <w:sz w:val="24"/>
                <w:szCs w:val="24"/>
              </w:rPr>
              <w:t>招标文件的质疑</w:t>
            </w:r>
          </w:p>
          <w:p w14:paraId="159393D1">
            <w:pPr>
              <w:pStyle w:val="14"/>
              <w:spacing w:line="360" w:lineRule="auto"/>
              <w:rPr>
                <w:rFonts w:hint="default" w:ascii="宋体" w:hAnsi="宋体" w:eastAsia="宋体" w:cs="宋体"/>
                <w:sz w:val="24"/>
                <w:szCs w:val="24"/>
              </w:rPr>
            </w:pPr>
            <w:r>
              <w:rPr>
                <w:rFonts w:ascii="宋体" w:hAnsi="宋体" w:eastAsia="宋体" w:cs="宋体"/>
                <w:sz w:val="24"/>
                <w:szCs w:val="24"/>
              </w:rPr>
              <w:t>（1）潜在投标人可在质疑时效期间内对招标文件以书面形式提出质疑。</w:t>
            </w:r>
          </w:p>
          <w:p w14:paraId="09723A3F">
            <w:pPr>
              <w:pStyle w:val="14"/>
              <w:spacing w:line="360" w:lineRule="auto"/>
              <w:rPr>
                <w:rFonts w:hint="default" w:ascii="宋体" w:hAnsi="宋体" w:eastAsia="宋体" w:cs="宋体"/>
                <w:sz w:val="24"/>
                <w:szCs w:val="24"/>
              </w:rPr>
            </w:pPr>
            <w:r>
              <w:rPr>
                <w:rFonts w:ascii="宋体" w:hAnsi="宋体" w:eastAsia="宋体" w:cs="宋体"/>
                <w:sz w:val="24"/>
                <w:szCs w:val="24"/>
              </w:rPr>
              <w:t>（2）质疑时效期间：应在依法获取招标文件之日起7个工作日内向 福建省中凯招标代理有限公司 提出，依法获取招标文件的时间以福建省政府采购网上公开信息系统记载的为准。</w:t>
            </w:r>
          </w:p>
          <w:p w14:paraId="3CE98815">
            <w:pPr>
              <w:pStyle w:val="14"/>
              <w:spacing w:line="360" w:lineRule="auto"/>
              <w:rPr>
                <w:rFonts w:hint="default" w:ascii="宋体" w:hAnsi="宋体" w:eastAsia="宋体" w:cs="宋体"/>
                <w:sz w:val="24"/>
                <w:szCs w:val="24"/>
              </w:rPr>
            </w:pPr>
            <w:r>
              <w:rPr>
                <w:rFonts w:ascii="宋体" w:hAnsi="宋体" w:eastAsia="宋体" w:cs="宋体"/>
                <w:sz w:val="24"/>
                <w:szCs w:val="24"/>
              </w:rPr>
              <w:t>※除上述规定外，对招标文件提出的质疑还应符合招标文件第三章第15.1条的有关规定。</w:t>
            </w:r>
          </w:p>
        </w:tc>
      </w:tr>
      <w:tr w14:paraId="7430D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3E04308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w:t>
            </w:r>
          </w:p>
        </w:tc>
        <w:tc>
          <w:tcPr>
            <w:tcW w:w="1338" w:type="dxa"/>
            <w:vAlign w:val="center"/>
          </w:tcPr>
          <w:p w14:paraId="7680EEE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16.1</w:t>
            </w:r>
          </w:p>
        </w:tc>
        <w:tc>
          <w:tcPr>
            <w:tcW w:w="6875" w:type="dxa"/>
          </w:tcPr>
          <w:p w14:paraId="75D1AC0A">
            <w:pPr>
              <w:pStyle w:val="14"/>
              <w:spacing w:line="360" w:lineRule="auto"/>
              <w:rPr>
                <w:rFonts w:hint="default" w:ascii="宋体" w:hAnsi="宋体" w:eastAsia="宋体" w:cs="宋体"/>
                <w:sz w:val="24"/>
                <w:szCs w:val="24"/>
              </w:rPr>
            </w:pPr>
            <w:r>
              <w:rPr>
                <w:rFonts w:ascii="宋体" w:hAnsi="宋体" w:eastAsia="宋体" w:cs="宋体"/>
                <w:sz w:val="24"/>
                <w:szCs w:val="24"/>
              </w:rPr>
              <w:t>监督管理部门： 福建省财政厅政府采购监督管理办公室 （仅限依法进行政府采购的货物或服务类项目）。</w:t>
            </w:r>
          </w:p>
        </w:tc>
      </w:tr>
      <w:tr w14:paraId="33D8A0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2060FCB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11</w:t>
            </w:r>
          </w:p>
        </w:tc>
        <w:tc>
          <w:tcPr>
            <w:tcW w:w="1338" w:type="dxa"/>
            <w:vAlign w:val="center"/>
          </w:tcPr>
          <w:p w14:paraId="3A4BA97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18.1</w:t>
            </w:r>
          </w:p>
        </w:tc>
        <w:tc>
          <w:tcPr>
            <w:tcW w:w="6875" w:type="dxa"/>
          </w:tcPr>
          <w:p w14:paraId="10EBC708">
            <w:pPr>
              <w:pStyle w:val="14"/>
              <w:spacing w:line="360" w:lineRule="auto"/>
              <w:rPr>
                <w:rFonts w:hint="default" w:ascii="宋体" w:hAnsi="宋体" w:eastAsia="宋体" w:cs="宋体"/>
                <w:sz w:val="24"/>
                <w:szCs w:val="24"/>
              </w:rPr>
            </w:pPr>
            <w:r>
              <w:rPr>
                <w:rFonts w:ascii="宋体" w:hAnsi="宋体" w:eastAsia="宋体" w:cs="宋体"/>
                <w:sz w:val="24"/>
                <w:szCs w:val="24"/>
              </w:rPr>
              <w:t>财政部和福建省财政厅指定的政府采购信息发布媒体（以下简称：“指定媒体”）：</w:t>
            </w:r>
          </w:p>
          <w:p w14:paraId="47B6EFB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（1）中国政府采购网，网址www.ccgp.gov.cn。</w:t>
            </w:r>
          </w:p>
          <w:p w14:paraId="3483C23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（2）中国政府采购网福建分网（福建省政府采购网），网址zfcg.czt.fujian.gov.cn。</w:t>
            </w:r>
          </w:p>
          <w:p w14:paraId="36DDCE4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※若出现上述指定媒体信息不一致情形，应以中国政府采购网福建分网（福建省政府采购网）发布的为准。</w:t>
            </w:r>
          </w:p>
        </w:tc>
      </w:tr>
      <w:tr w14:paraId="7D4B8D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vAlign w:val="center"/>
          </w:tcPr>
          <w:p w14:paraId="183EC85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12</w:t>
            </w:r>
          </w:p>
        </w:tc>
        <w:tc>
          <w:tcPr>
            <w:tcW w:w="1338" w:type="dxa"/>
            <w:vAlign w:val="center"/>
          </w:tcPr>
          <w:p w14:paraId="4FC139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19</w:t>
            </w:r>
          </w:p>
        </w:tc>
        <w:tc>
          <w:tcPr>
            <w:tcW w:w="6875" w:type="dxa"/>
          </w:tcPr>
          <w:p w14:paraId="65C6A802">
            <w:pPr>
              <w:pStyle w:val="14"/>
              <w:spacing w:line="360" w:lineRule="auto"/>
              <w:rPr>
                <w:rFonts w:hint="default" w:ascii="宋体" w:hAnsi="宋体" w:eastAsia="宋体" w:cs="宋体"/>
                <w:sz w:val="24"/>
                <w:szCs w:val="24"/>
              </w:rPr>
            </w:pPr>
            <w:r>
              <w:rPr>
                <w:rFonts w:ascii="宋体" w:hAnsi="宋体" w:eastAsia="宋体" w:cs="宋体"/>
                <w:sz w:val="24"/>
                <w:szCs w:val="24"/>
              </w:rPr>
              <w:t>其他事项：</w:t>
            </w:r>
          </w:p>
          <w:p w14:paraId="6F4A09CA">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(1)本项目代理服务费：</w:t>
            </w:r>
          </w:p>
          <w:p w14:paraId="09941928">
            <w:pPr>
              <w:pStyle w:val="14"/>
              <w:spacing w:line="360" w:lineRule="auto"/>
              <w:rPr>
                <w:rFonts w:hint="default" w:ascii="宋体" w:hAnsi="宋体" w:eastAsia="宋体" w:cs="宋体"/>
                <w:sz w:val="24"/>
                <w:szCs w:val="24"/>
              </w:rPr>
            </w:pPr>
            <w:r>
              <w:rPr>
                <w:rFonts w:ascii="宋体" w:hAnsi="宋体" w:eastAsia="宋体" w:cs="宋体"/>
                <w:sz w:val="24"/>
                <w:szCs w:val="24"/>
              </w:rPr>
              <w:t>本项目收取代理服务费</w:t>
            </w:r>
          </w:p>
          <w:p w14:paraId="3ED7F46B">
            <w:pPr>
              <w:pStyle w:val="14"/>
              <w:spacing w:line="360" w:lineRule="auto"/>
              <w:rPr>
                <w:rFonts w:hint="default" w:ascii="宋体" w:hAnsi="宋体" w:eastAsia="宋体" w:cs="宋体"/>
                <w:sz w:val="24"/>
                <w:szCs w:val="24"/>
              </w:rPr>
            </w:pPr>
            <w:r>
              <w:rPr>
                <w:rFonts w:ascii="宋体" w:hAnsi="宋体" w:eastAsia="宋体" w:cs="宋体"/>
                <w:sz w:val="24"/>
                <w:szCs w:val="24"/>
              </w:rPr>
              <w:t>代理服务费用收取对象：中标/成交供应商</w:t>
            </w:r>
          </w:p>
          <w:p w14:paraId="6C1C0CEF">
            <w:pPr>
              <w:pStyle w:val="14"/>
              <w:spacing w:line="360" w:lineRule="auto"/>
              <w:rPr>
                <w:rFonts w:hint="default" w:ascii="宋体" w:hAnsi="宋体" w:eastAsia="宋体" w:cs="宋体"/>
                <w:sz w:val="24"/>
                <w:szCs w:val="24"/>
              </w:rPr>
            </w:pPr>
            <w:r>
              <w:rPr>
                <w:rFonts w:ascii="宋体" w:hAnsi="宋体" w:eastAsia="宋体" w:cs="宋体"/>
                <w:sz w:val="24"/>
                <w:szCs w:val="24"/>
              </w:rPr>
              <w:t>代理服务费收费标准：（1）以采购包为单位，以中标通知书所列的中标金额为计算基数</w:t>
            </w:r>
            <w:r>
              <w:rPr>
                <w:rFonts w:ascii="宋体" w:hAnsi="宋体" w:eastAsia="宋体" w:cs="宋体"/>
                <w:sz w:val="24"/>
                <w:szCs w:val="24"/>
                <w:lang w:eastAsia="zh-CN"/>
              </w:rPr>
              <w:t>，采用差额定率累进计算：</w:t>
            </w:r>
            <w:r>
              <w:rPr>
                <w:rFonts w:ascii="宋体" w:hAnsi="宋体" w:eastAsia="宋体" w:cs="宋体"/>
                <w:sz w:val="24"/>
                <w:szCs w:val="24"/>
              </w:rPr>
              <w:t>100万元以内部分按1.5%计算，100-500万部分按1.1%计算。（2）中标人应在领取中标通知书的同时按规定的标准一次性向采购代理机构支付全额的招标代理服务费。招标代理服务费以银行转账、电汇、汇票或现金等付款方式。（3）支付招标代理服务费银行账号：开户名：福建省中凯招标代理有限公司；开户行：中信银行股份有限公司福州分行；账号：8111 3010 1280 0279 308。</w:t>
            </w:r>
          </w:p>
          <w:p w14:paraId="5BF52F1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(2)其他：</w:t>
            </w:r>
          </w:p>
          <w:p w14:paraId="6B608817">
            <w:pPr>
              <w:pStyle w:val="14"/>
              <w:spacing w:line="360" w:lineRule="auto"/>
              <w:rPr>
                <w:rFonts w:hint="default" w:ascii="宋体" w:hAnsi="宋体" w:eastAsia="宋体" w:cs="宋体"/>
                <w:sz w:val="24"/>
                <w:szCs w:val="24"/>
              </w:rPr>
            </w:pPr>
            <w:r>
              <w:rPr>
                <w:rFonts w:ascii="宋体" w:hAnsi="宋体" w:eastAsia="宋体" w:cs="宋体"/>
                <w:sz w:val="24"/>
                <w:szCs w:val="24"/>
              </w:rPr>
              <w:t>①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根据《中华人民共和国政府采购法实施条例》第五十三条规定，政府采购法第五十二条规定的供应商应知其权益受到损害之日，是指：对可以质疑的采购文件提出质疑的，为收到采购文件之日；对采购过程提出质疑的，为各采购程序环节结束之日；对成交结果提出质疑的，为成交结果公告期限届满之日。②根据《政府采购质疑和投诉办法》(财政部令第94号)第十八条规定，“投诉人投诉时，应当提交投诉书和必要的证明材料，并按照被投诉采购人、采购代理机构和与投诉事项有关的供 应商数量提供投诉书的副本”。根据《政府采购质疑和投诉办法》(财政部令第94号)第二十条规定，“供应商投诉的事项不得超出已质疑事项的范围，但基于质疑答复内容提出的投诉事项除外。”。③供应商在法定质疑期内须一次性提出针对同一采购程序环节的质疑。④接收质疑函的方式：以书面原件形式送达或邮件至福州市鼓楼区古田路121号华福大厦写字楼4楼福建省中凯招标代理有限公司，联系电话：0591-28026610；⑤根据《财政部关于印发关于在相关自由贸易试验区和自由贸易港开展推动解决政府采购异常低价问题试点工作的通知》（财办库〔2024〕265号）的规定，试点地区的政府采购评审中出现下列情形之一的，评审委员会应当启动异常低价投标（响应）审查程序：（一）投标（响应）报价低于全部通过符合性审查供应商投标（响应）报价平均值50%的，即投标（响应）报价&lt;全部通过符合性审查供应商投标（响应）报价平均值×50%；（二）投标（响应）报价低于通过符合性审查且报价次低供应商投标（响应）报价50%的，即投标（响应）报价&lt;通过符合性审查且报价次低供应商投标（响应）报价×50%；（三）投标（响应）报价低于采购项目最高限价45%的，即投标（响应）报价&lt;采购项目最高限价×45%；（四）其他评审委员会认为供应商报价过低，有可能影响产品质量或者不能诚信履约的情形。评审委员会启动异常低价投标（响应）审查后，应当要求相关供应商在评审现场合理的时间内提供书面说明及必要的证明材料，对投标（响应）价格作出解释。书面说明、证明材料主要是项目具体成本测算等与报价合理性相关的说明、材料。评审委员会应当结合同类产品在主要电商平台的价格、该行业当地薪资水平等情况，依据专业经验对报价合理性进行判断。如果投标（响应）供应商不提供书面说明、证明材料，或者提供的书面说明、证明材料不能证明其报价合理性的，应当将其作为无效投标（响应）处理。审查相关情况应当在评审报告中记录。</w:t>
            </w:r>
          </w:p>
          <w:p w14:paraId="23675CA9">
            <w:pPr>
              <w:pStyle w:val="14"/>
              <w:spacing w:line="360" w:lineRule="auto"/>
              <w:rPr>
                <w:rFonts w:hint="default" w:ascii="宋体" w:hAnsi="宋体" w:eastAsia="宋体" w:cs="宋体"/>
                <w:sz w:val="24"/>
                <w:szCs w:val="24"/>
              </w:rPr>
            </w:pPr>
            <w:r>
              <w:rPr>
                <w:rFonts w:ascii="宋体" w:hAnsi="宋体" w:eastAsia="宋体" w:cs="宋体"/>
                <w:sz w:val="24"/>
                <w:szCs w:val="24"/>
              </w:rPr>
              <w:t>⑥无效投标及废标条款：以下为可能导致无效投标或废标的条款，具体内容详见招标文件各章节，请各投标人认真查看对照。a.出现投标人须知前附表1、附表2中投标无效规定的；b.出现第三章投标人须知投标无效规定的；c.出现第四章资格审查与评标投标无效规定的；d.出现第五章招标内容及要求投标无效规定的；出现第七章电子投标文件格式投标无效规定的；e.符合专业条件的投标人或者对招标文件作实质响应的投标人不足三家的；f.出现影响采购公正的违法、违规行为的；g.投标人的报价均超过了采购预算，采购人不能支付的；h.因重大变故，采购任务取消的。</w:t>
            </w:r>
          </w:p>
        </w:tc>
      </w:tr>
      <w:tr w14:paraId="34E2D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43" w:type="dxa"/>
            <w:gridSpan w:val="2"/>
          </w:tcPr>
          <w:p w14:paraId="433F1889">
            <w:pPr>
              <w:pStyle w:val="14"/>
              <w:spacing w:line="360" w:lineRule="auto"/>
              <w:rPr>
                <w:rFonts w:hint="default" w:ascii="宋体" w:hAnsi="宋体" w:eastAsia="宋体" w:cs="宋体"/>
                <w:sz w:val="24"/>
                <w:szCs w:val="24"/>
              </w:rPr>
            </w:pPr>
            <w:r>
              <w:rPr>
                <w:rFonts w:ascii="宋体" w:hAnsi="宋体" w:eastAsia="宋体" w:cs="宋体"/>
                <w:sz w:val="24"/>
                <w:szCs w:val="24"/>
              </w:rPr>
              <w:t>备注</w:t>
            </w:r>
          </w:p>
        </w:tc>
        <w:tc>
          <w:tcPr>
            <w:tcW w:w="6875" w:type="dxa"/>
          </w:tcPr>
          <w:p w14:paraId="69BC4A3A">
            <w:pPr>
              <w:pStyle w:val="14"/>
              <w:spacing w:line="360" w:lineRule="auto"/>
              <w:rPr>
                <w:rFonts w:hint="default" w:ascii="宋体" w:hAnsi="宋体" w:eastAsia="宋体" w:cs="宋体"/>
                <w:sz w:val="24"/>
                <w:szCs w:val="24"/>
              </w:rPr>
            </w:pPr>
            <w:r>
              <w:rPr>
                <w:rFonts w:ascii="宋体" w:hAnsi="宋体" w:eastAsia="宋体" w:cs="宋体"/>
                <w:sz w:val="24"/>
                <w:szCs w:val="24"/>
              </w:rPr>
              <w:t>后有投标人须知前附表2，请勿遗漏。</w:t>
            </w:r>
          </w:p>
        </w:tc>
      </w:tr>
    </w:tbl>
    <w:p w14:paraId="7B8E9526">
      <w:pPr>
        <w:pStyle w:val="14"/>
        <w:spacing w:line="360" w:lineRule="auto"/>
        <w:jc w:val="center"/>
        <w:outlineLvl w:val="2"/>
        <w:rPr>
          <w:rFonts w:hint="default" w:ascii="宋体" w:hAnsi="宋体" w:eastAsia="宋体" w:cs="宋体"/>
          <w:b/>
          <w:sz w:val="24"/>
          <w:szCs w:val="24"/>
        </w:rPr>
      </w:pPr>
    </w:p>
    <w:p w14:paraId="14461167">
      <w:pPr>
        <w:pStyle w:val="14"/>
        <w:spacing w:line="360" w:lineRule="auto"/>
        <w:jc w:val="center"/>
        <w:outlineLvl w:val="2"/>
        <w:rPr>
          <w:rFonts w:hint="default" w:ascii="宋体" w:hAnsi="宋体" w:eastAsia="宋体" w:cs="宋体"/>
          <w:sz w:val="24"/>
          <w:szCs w:val="24"/>
        </w:rPr>
      </w:pPr>
      <w:r>
        <w:rPr>
          <w:rFonts w:ascii="宋体" w:hAnsi="宋体" w:eastAsia="宋体" w:cs="宋体"/>
          <w:b/>
          <w:sz w:val="28"/>
          <w:szCs w:val="28"/>
        </w:rPr>
        <w:t>二、投标人须知前附表2</w:t>
      </w:r>
    </w:p>
    <w:tbl>
      <w:tblPr>
        <w:tblStyle w:val="11"/>
        <w:tblW w:w="90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68"/>
        <w:gridCol w:w="8262"/>
      </w:tblGrid>
      <w:tr w14:paraId="572196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030" w:type="dxa"/>
            <w:gridSpan w:val="2"/>
          </w:tcPr>
          <w:p w14:paraId="2A7C5FB7">
            <w:pPr>
              <w:pStyle w:val="14"/>
              <w:spacing w:line="360" w:lineRule="auto"/>
              <w:rPr>
                <w:rFonts w:hint="default" w:ascii="宋体" w:hAnsi="宋体" w:eastAsia="宋体" w:cs="宋体"/>
                <w:sz w:val="24"/>
                <w:szCs w:val="24"/>
              </w:rPr>
            </w:pPr>
            <w:r>
              <w:rPr>
                <w:rFonts w:ascii="宋体" w:hAnsi="宋体" w:eastAsia="宋体" w:cs="宋体"/>
                <w:sz w:val="24"/>
                <w:szCs w:val="24"/>
              </w:rPr>
              <w:t>关于电子招标投标活动的专门规定</w:t>
            </w:r>
          </w:p>
        </w:tc>
      </w:tr>
      <w:tr w14:paraId="05C27B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4660CEE9">
            <w:pPr>
              <w:pStyle w:val="14"/>
              <w:spacing w:line="360" w:lineRule="auto"/>
              <w:rPr>
                <w:rFonts w:hint="default" w:ascii="宋体" w:hAnsi="宋体" w:eastAsia="宋体" w:cs="宋体"/>
                <w:sz w:val="24"/>
                <w:szCs w:val="24"/>
              </w:rPr>
            </w:pPr>
            <w:r>
              <w:rPr>
                <w:rFonts w:ascii="宋体" w:hAnsi="宋体" w:eastAsia="宋体" w:cs="宋体"/>
                <w:sz w:val="24"/>
                <w:szCs w:val="24"/>
              </w:rPr>
              <w:t>序号</w:t>
            </w:r>
          </w:p>
        </w:tc>
        <w:tc>
          <w:tcPr>
            <w:tcW w:w="8262" w:type="dxa"/>
          </w:tcPr>
          <w:p w14:paraId="4CD80C68">
            <w:pPr>
              <w:pStyle w:val="14"/>
              <w:spacing w:line="360" w:lineRule="auto"/>
              <w:rPr>
                <w:rFonts w:hint="default" w:ascii="宋体" w:hAnsi="宋体" w:eastAsia="宋体" w:cs="宋体"/>
                <w:sz w:val="24"/>
                <w:szCs w:val="24"/>
              </w:rPr>
            </w:pPr>
            <w:r>
              <w:rPr>
                <w:rFonts w:ascii="宋体" w:hAnsi="宋体" w:eastAsia="宋体" w:cs="宋体"/>
                <w:sz w:val="24"/>
                <w:szCs w:val="24"/>
              </w:rPr>
              <w:t>编列内容</w:t>
            </w:r>
          </w:p>
        </w:tc>
      </w:tr>
      <w:tr w14:paraId="09C12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68" w:type="dxa"/>
          </w:tcPr>
          <w:p w14:paraId="621476D5">
            <w:pPr>
              <w:pStyle w:val="14"/>
              <w:spacing w:line="360" w:lineRule="auto"/>
              <w:rPr>
                <w:rFonts w:hint="default" w:ascii="宋体" w:hAnsi="宋体" w:eastAsia="宋体" w:cs="宋体"/>
                <w:sz w:val="24"/>
                <w:szCs w:val="24"/>
              </w:rPr>
            </w:pPr>
            <w:r>
              <w:rPr>
                <w:rFonts w:ascii="宋体" w:hAnsi="宋体" w:eastAsia="宋体" w:cs="宋体"/>
                <w:sz w:val="24"/>
                <w:szCs w:val="24"/>
              </w:rPr>
              <w:t>1</w:t>
            </w:r>
          </w:p>
        </w:tc>
        <w:tc>
          <w:tcPr>
            <w:tcW w:w="8262" w:type="dxa"/>
          </w:tcPr>
          <w:p w14:paraId="49ECC52D">
            <w:pPr>
              <w:pStyle w:val="14"/>
              <w:spacing w:line="360" w:lineRule="auto"/>
              <w:rPr>
                <w:rFonts w:hint="default" w:ascii="宋体" w:hAnsi="宋体" w:eastAsia="宋体" w:cs="宋体"/>
                <w:sz w:val="24"/>
                <w:szCs w:val="24"/>
              </w:rPr>
            </w:pPr>
            <w:r>
              <w:rPr>
                <w:rFonts w:ascii="宋体" w:hAnsi="宋体" w:eastAsia="宋体" w:cs="宋体"/>
                <w:sz w:val="24"/>
                <w:szCs w:val="24"/>
              </w:rPr>
              <w:t>（1）电子招标投标活动的专门规定适用本项目电子招标投标活动。</w:t>
            </w:r>
          </w:p>
          <w:p w14:paraId="6F7FC7C9">
            <w:pPr>
              <w:pStyle w:val="14"/>
              <w:spacing w:line="360" w:lineRule="auto"/>
              <w:rPr>
                <w:rFonts w:hint="default" w:ascii="宋体" w:hAnsi="宋体" w:eastAsia="宋体" w:cs="宋体"/>
                <w:sz w:val="24"/>
                <w:szCs w:val="24"/>
              </w:rPr>
            </w:pPr>
            <w:r>
              <w:rPr>
                <w:rFonts w:ascii="宋体" w:hAnsi="宋体" w:eastAsia="宋体" w:cs="宋体"/>
                <w:sz w:val="24"/>
                <w:szCs w:val="24"/>
              </w:rPr>
              <w:t>（2）将招标文件</w:t>
            </w:r>
          </w:p>
          <w:p w14:paraId="200059EF">
            <w:pPr>
              <w:pStyle w:val="14"/>
              <w:spacing w:line="360" w:lineRule="auto"/>
              <w:rPr>
                <w:rFonts w:hint="default" w:ascii="宋体" w:hAnsi="宋体" w:eastAsia="宋体" w:cs="宋体"/>
                <w:sz w:val="24"/>
                <w:szCs w:val="24"/>
              </w:rPr>
            </w:pPr>
            <w:r>
              <w:rPr>
                <w:rFonts w:ascii="宋体" w:hAnsi="宋体" w:eastAsia="宋体" w:cs="宋体"/>
                <w:sz w:val="24"/>
                <w:szCs w:val="24"/>
              </w:rPr>
              <w:t>无 的内容修正为下列内容：</w:t>
            </w:r>
          </w:p>
          <w:p w14:paraId="43347C05">
            <w:pPr>
              <w:pStyle w:val="14"/>
              <w:spacing w:line="360" w:lineRule="auto"/>
              <w:rPr>
                <w:rFonts w:hint="default" w:ascii="宋体" w:hAnsi="宋体" w:eastAsia="宋体" w:cs="宋体"/>
                <w:sz w:val="24"/>
                <w:szCs w:val="24"/>
              </w:rPr>
            </w:pPr>
            <w:r>
              <w:rPr>
                <w:rFonts w:ascii="宋体" w:hAnsi="宋体" w:eastAsia="宋体" w:cs="宋体"/>
                <w:sz w:val="24"/>
                <w:szCs w:val="24"/>
              </w:rPr>
              <w:t>无 后适用本项目的电子招标投标活动。</w:t>
            </w:r>
          </w:p>
          <w:p w14:paraId="049CA2D3">
            <w:pPr>
              <w:pStyle w:val="14"/>
              <w:spacing w:line="360" w:lineRule="auto"/>
              <w:rPr>
                <w:rFonts w:hint="default" w:ascii="宋体" w:hAnsi="宋体" w:eastAsia="宋体" w:cs="宋体"/>
                <w:sz w:val="24"/>
                <w:szCs w:val="24"/>
              </w:rPr>
            </w:pPr>
            <w:r>
              <w:rPr>
                <w:rFonts w:ascii="宋体" w:hAnsi="宋体" w:eastAsia="宋体" w:cs="宋体"/>
                <w:sz w:val="24"/>
                <w:szCs w:val="24"/>
              </w:rPr>
              <w:t>（3）将下列内容增列为招标文件的组成部分（以下简称：“增列内容”）适用本项目的电子招标投标活动，若增列内容与招标文件其他章节内容有冲突，应以增列内容为准：</w:t>
            </w:r>
          </w:p>
          <w:p w14:paraId="29904A38">
            <w:pPr>
              <w:pStyle w:val="14"/>
              <w:spacing w:line="360" w:lineRule="auto"/>
              <w:rPr>
                <w:rFonts w:hint="default" w:ascii="宋体" w:hAnsi="宋体" w:eastAsia="宋体" w:cs="宋体"/>
                <w:sz w:val="24"/>
                <w:szCs w:val="24"/>
              </w:rPr>
            </w:pPr>
            <w:r>
              <w:rPr>
                <w:rFonts w:ascii="宋体" w:hAnsi="宋体" w:eastAsia="宋体" w:cs="宋体"/>
                <w:sz w:val="24"/>
                <w:szCs w:val="24"/>
              </w:rPr>
              <w:t>①电子招标投标活动的具体操作流程以福建省政府采购网上公开信息系统设定的为准。</w:t>
            </w:r>
          </w:p>
          <w:p w14:paraId="58013A2E">
            <w:pPr>
              <w:pStyle w:val="14"/>
              <w:spacing w:line="360" w:lineRule="auto"/>
              <w:rPr>
                <w:rFonts w:hint="default" w:ascii="宋体" w:hAnsi="宋体" w:eastAsia="宋体" w:cs="宋体"/>
                <w:sz w:val="24"/>
                <w:szCs w:val="24"/>
              </w:rPr>
            </w:pPr>
            <w:r>
              <w:rPr>
                <w:rFonts w:ascii="宋体" w:hAnsi="宋体" w:eastAsia="宋体" w:cs="宋体"/>
                <w:sz w:val="24"/>
                <w:szCs w:val="24"/>
              </w:rPr>
              <w:t>②关于电子投标文件：</w:t>
            </w:r>
          </w:p>
          <w:p w14:paraId="4A00AB27">
            <w:pPr>
              <w:pStyle w:val="14"/>
              <w:spacing w:line="360" w:lineRule="auto"/>
              <w:rPr>
                <w:rFonts w:hint="default" w:ascii="宋体" w:hAnsi="宋体" w:eastAsia="宋体" w:cs="宋体"/>
                <w:sz w:val="24"/>
                <w:szCs w:val="24"/>
              </w:rPr>
            </w:pPr>
            <w:r>
              <w:rPr>
                <w:rFonts w:ascii="宋体" w:hAnsi="宋体" w:eastAsia="宋体" w:cs="宋体"/>
                <w:sz w:val="24"/>
                <w:szCs w:val="24"/>
              </w:rPr>
              <w:t>a.投标人应按照福建省政府采购网上公开信息系统设定的评审节点编制电子投标文件，否则资格审查小组、评标委员会将按照不利于投标人的内容进行认定。</w:t>
            </w:r>
          </w:p>
          <w:p w14:paraId="29704B1B">
            <w:pPr>
              <w:pStyle w:val="14"/>
              <w:spacing w:line="360" w:lineRule="auto"/>
              <w:rPr>
                <w:rFonts w:hint="default" w:ascii="宋体" w:hAnsi="宋体" w:eastAsia="宋体" w:cs="宋体"/>
                <w:sz w:val="24"/>
                <w:szCs w:val="24"/>
              </w:rPr>
            </w:pPr>
            <w:r>
              <w:rPr>
                <w:rFonts w:ascii="宋体" w:hAnsi="宋体" w:eastAsia="宋体" w:cs="宋体"/>
                <w:sz w:val="24"/>
                <w:szCs w:val="24"/>
              </w:rP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BBC3816">
            <w:pPr>
              <w:pStyle w:val="14"/>
              <w:spacing w:line="360" w:lineRule="auto"/>
              <w:rPr>
                <w:rFonts w:hint="default" w:ascii="宋体" w:hAnsi="宋体" w:eastAsia="宋体" w:cs="宋体"/>
                <w:sz w:val="24"/>
                <w:szCs w:val="24"/>
              </w:rPr>
            </w:pPr>
            <w:r>
              <w:rPr>
                <w:rFonts w:ascii="宋体" w:hAnsi="宋体" w:eastAsia="宋体" w:cs="宋体"/>
                <w:sz w:val="24"/>
                <w:szCs w:val="24"/>
              </w:rPr>
              <w:t>③关于证明材料或资料：</w:t>
            </w:r>
          </w:p>
          <w:p w14:paraId="7C1956A3">
            <w:pPr>
              <w:pStyle w:val="14"/>
              <w:spacing w:line="360" w:lineRule="auto"/>
              <w:rPr>
                <w:rFonts w:hint="default" w:ascii="宋体" w:hAnsi="宋体" w:eastAsia="宋体" w:cs="宋体"/>
                <w:sz w:val="24"/>
                <w:szCs w:val="24"/>
              </w:rPr>
            </w:pPr>
            <w:r>
              <w:rPr>
                <w:rFonts w:ascii="宋体" w:hAnsi="宋体" w:eastAsia="宋体" w:cs="宋体"/>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2C632C45">
            <w:pPr>
              <w:pStyle w:val="14"/>
              <w:spacing w:line="360" w:lineRule="auto"/>
              <w:rPr>
                <w:rFonts w:hint="default" w:ascii="宋体" w:hAnsi="宋体" w:eastAsia="宋体" w:cs="宋体"/>
                <w:sz w:val="24"/>
                <w:szCs w:val="24"/>
              </w:rPr>
            </w:pPr>
            <w:r>
              <w:rPr>
                <w:rFonts w:ascii="宋体" w:hAnsi="宋体" w:eastAsia="宋体" w:cs="宋体"/>
                <w:sz w:val="24"/>
                <w:szCs w:val="24"/>
              </w:rPr>
              <w:t>b.若投标人提供注明“复印件无效”或“复印无效”的证明材料或资料，应结合上文a条款进行判定，若招标文件未要求投标人提供原件，投标人提供原件，复印件（含扫描件）均视为满足招标文件要求。</w:t>
            </w:r>
          </w:p>
          <w:p w14:paraId="4535CB95">
            <w:pPr>
              <w:pStyle w:val="14"/>
              <w:spacing w:line="360" w:lineRule="auto"/>
              <w:rPr>
                <w:rFonts w:hint="default" w:ascii="宋体" w:hAnsi="宋体" w:eastAsia="宋体" w:cs="宋体"/>
                <w:sz w:val="24"/>
                <w:szCs w:val="24"/>
              </w:rPr>
            </w:pPr>
            <w:r>
              <w:rPr>
                <w:rFonts w:ascii="宋体" w:hAnsi="宋体" w:eastAsia="宋体" w:cs="宋体"/>
                <w:sz w:val="24"/>
                <w:szCs w:val="24"/>
              </w:rPr>
              <w:t>④关于“全称”、“投标人代表签字”及“加盖单位公章”：</w:t>
            </w:r>
          </w:p>
          <w:p w14:paraId="69D08B74">
            <w:pPr>
              <w:pStyle w:val="14"/>
              <w:spacing w:line="360" w:lineRule="auto"/>
              <w:rPr>
                <w:rFonts w:hint="default" w:ascii="宋体" w:hAnsi="宋体" w:eastAsia="宋体" w:cs="宋体"/>
                <w:sz w:val="24"/>
                <w:szCs w:val="24"/>
              </w:rPr>
            </w:pPr>
            <w:r>
              <w:rPr>
                <w:rFonts w:ascii="宋体" w:hAnsi="宋体" w:eastAsia="宋体" w:cs="宋体"/>
                <w:sz w:val="24"/>
                <w:szCs w:val="24"/>
              </w:rPr>
              <w:t>a.在电子投标文件中，涉及“全称”和“投标人代表签字”的内容可使用打字录入方式完成。</w:t>
            </w:r>
          </w:p>
          <w:p w14:paraId="45C00FC7">
            <w:pPr>
              <w:pStyle w:val="14"/>
              <w:spacing w:line="360" w:lineRule="auto"/>
              <w:rPr>
                <w:rFonts w:hint="default" w:ascii="宋体" w:hAnsi="宋体" w:eastAsia="宋体" w:cs="宋体"/>
                <w:sz w:val="24"/>
                <w:szCs w:val="24"/>
              </w:rPr>
            </w:pPr>
            <w:r>
              <w:rPr>
                <w:rFonts w:ascii="宋体" w:hAnsi="宋体" w:eastAsia="宋体" w:cs="宋体"/>
                <w:sz w:val="24"/>
                <w:szCs w:val="24"/>
              </w:rPr>
              <w:t>b.在电子投标文件中，涉及“加盖单位公章”的内容应使用投标人的CA证书完成，否则投标无效。</w:t>
            </w:r>
          </w:p>
          <w:p w14:paraId="1E6F6B61">
            <w:pPr>
              <w:pStyle w:val="14"/>
              <w:spacing w:line="360" w:lineRule="auto"/>
              <w:rPr>
                <w:rFonts w:hint="default" w:ascii="宋体" w:hAnsi="宋体" w:eastAsia="宋体" w:cs="宋体"/>
                <w:sz w:val="24"/>
                <w:szCs w:val="24"/>
              </w:rPr>
            </w:pPr>
            <w:r>
              <w:rPr>
                <w:rFonts w:ascii="宋体" w:hAnsi="宋体" w:eastAsia="宋体" w:cs="宋体"/>
                <w:sz w:val="24"/>
                <w:szCs w:val="24"/>
              </w:rPr>
              <w:t>c.在电子投标文件中，若投标人按照本增列内容第④点第b项规定加盖其单位公章，则出现无全称、或投标人代表未签字等情形，不视为投标无效。</w:t>
            </w:r>
          </w:p>
          <w:p w14:paraId="50151E71">
            <w:pPr>
              <w:pStyle w:val="14"/>
              <w:spacing w:line="360" w:lineRule="auto"/>
              <w:rPr>
                <w:rFonts w:hint="default" w:ascii="宋体" w:hAnsi="宋体" w:eastAsia="宋体" w:cs="宋体"/>
                <w:sz w:val="24"/>
                <w:szCs w:val="24"/>
              </w:rPr>
            </w:pPr>
            <w:r>
              <w:rPr>
                <w:rFonts w:ascii="宋体" w:hAnsi="宋体" w:eastAsia="宋体" w:cs="宋体"/>
                <w:sz w:val="24"/>
                <w:szCs w:val="24"/>
              </w:rPr>
              <w:t>⑤关于投标人的CA证书：</w:t>
            </w:r>
          </w:p>
          <w:p w14:paraId="797438EA">
            <w:pPr>
              <w:pStyle w:val="14"/>
              <w:spacing w:line="360" w:lineRule="auto"/>
              <w:rPr>
                <w:rFonts w:hint="default" w:ascii="宋体" w:hAnsi="宋体" w:eastAsia="宋体" w:cs="宋体"/>
                <w:sz w:val="24"/>
                <w:szCs w:val="24"/>
              </w:rPr>
            </w:pPr>
            <w:r>
              <w:rPr>
                <w:rFonts w:ascii="宋体" w:hAnsi="宋体" w:eastAsia="宋体" w:cs="宋体"/>
                <w:sz w:val="24"/>
                <w:szCs w:val="24"/>
              </w:rPr>
              <w:t>a.投标人的CA证书应在系统规定时间内使用CA证书进行电子投标文件的解密操作，逾期未解密的视为放弃投标。</w:t>
            </w:r>
          </w:p>
          <w:p w14:paraId="164B635B">
            <w:pPr>
              <w:pStyle w:val="14"/>
              <w:spacing w:line="360" w:lineRule="auto"/>
              <w:rPr>
                <w:rFonts w:hint="default" w:ascii="宋体" w:hAnsi="宋体" w:eastAsia="宋体" w:cs="宋体"/>
                <w:sz w:val="24"/>
                <w:szCs w:val="24"/>
              </w:rPr>
            </w:pPr>
            <w:r>
              <w:rPr>
                <w:rFonts w:ascii="宋体" w:hAnsi="宋体" w:eastAsia="宋体" w:cs="宋体"/>
                <w:sz w:val="24"/>
                <w:szCs w:val="24"/>
              </w:rPr>
              <w:t>b.投标人的CA证书可采用信封（包括但不限于：信封、档案袋、文件袋等）作为外包装进行单独包装。外包装密封、不密封皆可。</w:t>
            </w:r>
          </w:p>
          <w:p w14:paraId="6B0441CA">
            <w:pPr>
              <w:pStyle w:val="14"/>
              <w:spacing w:line="360" w:lineRule="auto"/>
              <w:rPr>
                <w:rFonts w:hint="default" w:ascii="宋体" w:hAnsi="宋体" w:eastAsia="宋体" w:cs="宋体"/>
                <w:sz w:val="24"/>
                <w:szCs w:val="24"/>
              </w:rPr>
            </w:pPr>
            <w:r>
              <w:rPr>
                <w:rFonts w:ascii="宋体" w:hAnsi="宋体" w:eastAsia="宋体" w:cs="宋体"/>
                <w:sz w:val="24"/>
                <w:szCs w:val="24"/>
              </w:rPr>
              <w:t>c.投标人的CA证书或外包装应标记“项目名称、项目编号、投标人的全称”等内容，以方便识别、使用。</w:t>
            </w:r>
          </w:p>
          <w:p w14:paraId="36F0A0B8">
            <w:pPr>
              <w:pStyle w:val="14"/>
              <w:spacing w:line="360" w:lineRule="auto"/>
              <w:rPr>
                <w:rFonts w:hint="default" w:ascii="宋体" w:hAnsi="宋体" w:eastAsia="宋体" w:cs="宋体"/>
                <w:sz w:val="24"/>
                <w:szCs w:val="24"/>
              </w:rPr>
            </w:pPr>
            <w:r>
              <w:rPr>
                <w:rFonts w:ascii="宋体" w:hAnsi="宋体" w:eastAsia="宋体" w:cs="宋体"/>
                <w:sz w:val="24"/>
                <w:szCs w:val="24"/>
              </w:rPr>
              <w:t>d.投标人的CA证书应能正常、有效使用，否则产生不利后果由投标人承担责任。</w:t>
            </w:r>
          </w:p>
          <w:p w14:paraId="436A36F8">
            <w:pPr>
              <w:pStyle w:val="14"/>
              <w:spacing w:line="360" w:lineRule="auto"/>
              <w:rPr>
                <w:rFonts w:hint="default" w:ascii="宋体" w:hAnsi="宋体" w:eastAsia="宋体" w:cs="宋体"/>
                <w:sz w:val="24"/>
                <w:szCs w:val="24"/>
              </w:rPr>
            </w:pPr>
            <w:r>
              <w:rPr>
                <w:rFonts w:ascii="宋体" w:hAnsi="宋体" w:eastAsia="宋体" w:cs="宋体"/>
                <w:sz w:val="24"/>
                <w:szCs w:val="24"/>
              </w:rPr>
              <w:t>⑥关于投标截止时间过后</w:t>
            </w:r>
          </w:p>
          <w:p w14:paraId="6C95D089">
            <w:pPr>
              <w:pStyle w:val="14"/>
              <w:spacing w:line="360" w:lineRule="auto"/>
              <w:rPr>
                <w:rFonts w:hint="default" w:ascii="宋体" w:hAnsi="宋体" w:eastAsia="宋体" w:cs="宋体"/>
                <w:sz w:val="24"/>
                <w:szCs w:val="24"/>
              </w:rPr>
            </w:pPr>
            <w:r>
              <w:rPr>
                <w:rFonts w:ascii="宋体" w:hAnsi="宋体" w:eastAsia="宋体" w:cs="宋体"/>
                <w:sz w:val="24"/>
                <w:szCs w:val="24"/>
              </w:rPr>
              <w:t>a.未按招标文件规定提交投标保证金的，其投标将按无效投标处理。</w:t>
            </w:r>
          </w:p>
          <w:p w14:paraId="68DF2012">
            <w:pPr>
              <w:pStyle w:val="14"/>
              <w:spacing w:line="360" w:lineRule="auto"/>
              <w:rPr>
                <w:rFonts w:hint="default" w:ascii="宋体" w:hAnsi="宋体" w:eastAsia="宋体" w:cs="宋体"/>
                <w:sz w:val="24"/>
                <w:szCs w:val="24"/>
              </w:rPr>
            </w:pPr>
            <w:r>
              <w:rPr>
                <w:rFonts w:ascii="宋体" w:hAnsi="宋体" w:eastAsia="宋体" w:cs="宋体"/>
                <w:sz w:val="24"/>
                <w:szCs w:val="24"/>
              </w:rPr>
              <w:t>b.有下列情形之一的，其投标无效,其保证金不予退还或通过投标保函进行索赔：</w:t>
            </w:r>
          </w:p>
          <w:p w14:paraId="79A57267">
            <w:pPr>
              <w:pStyle w:val="14"/>
              <w:spacing w:line="360" w:lineRule="auto"/>
              <w:rPr>
                <w:rFonts w:hint="default" w:ascii="宋体" w:hAnsi="宋体" w:eastAsia="宋体" w:cs="宋体"/>
                <w:sz w:val="24"/>
                <w:szCs w:val="24"/>
              </w:rPr>
            </w:pPr>
            <w:r>
              <w:rPr>
                <w:rFonts w:ascii="宋体" w:hAnsi="宋体" w:eastAsia="宋体" w:cs="宋体"/>
                <w:sz w:val="24"/>
                <w:szCs w:val="24"/>
              </w:rPr>
              <w:t>b1不同投标人的电子投标文件具有相同内部识别码；</w:t>
            </w:r>
          </w:p>
          <w:p w14:paraId="4A5EA149">
            <w:pPr>
              <w:pStyle w:val="14"/>
              <w:spacing w:line="360" w:lineRule="auto"/>
              <w:rPr>
                <w:rFonts w:hint="default" w:ascii="宋体" w:hAnsi="宋体" w:eastAsia="宋体" w:cs="宋体"/>
                <w:sz w:val="24"/>
                <w:szCs w:val="24"/>
              </w:rPr>
            </w:pPr>
            <w:r>
              <w:rPr>
                <w:rFonts w:ascii="宋体" w:hAnsi="宋体" w:eastAsia="宋体" w:cs="宋体"/>
                <w:sz w:val="24"/>
                <w:szCs w:val="24"/>
              </w:rPr>
              <w:t>b2不同投标人的投标保证金从同一单位或个人的账户转出；</w:t>
            </w:r>
          </w:p>
          <w:p w14:paraId="294EEDC5">
            <w:pPr>
              <w:pStyle w:val="14"/>
              <w:spacing w:line="360" w:lineRule="auto"/>
              <w:rPr>
                <w:rFonts w:hint="default" w:ascii="宋体" w:hAnsi="宋体" w:eastAsia="宋体" w:cs="宋体"/>
                <w:sz w:val="24"/>
                <w:szCs w:val="24"/>
              </w:rPr>
            </w:pPr>
            <w:r>
              <w:rPr>
                <w:rFonts w:ascii="宋体" w:hAnsi="宋体" w:eastAsia="宋体" w:cs="宋体"/>
                <w:sz w:val="24"/>
                <w:szCs w:val="24"/>
              </w:rPr>
              <w:t>b3投标人的投标保证金同一采购包下有其他投标人提交的投标保证金；</w:t>
            </w:r>
          </w:p>
          <w:p w14:paraId="094D5231">
            <w:pPr>
              <w:pStyle w:val="14"/>
              <w:spacing w:line="360" w:lineRule="auto"/>
              <w:rPr>
                <w:rFonts w:hint="default" w:ascii="宋体" w:hAnsi="宋体" w:eastAsia="宋体" w:cs="宋体"/>
                <w:sz w:val="24"/>
                <w:szCs w:val="24"/>
              </w:rPr>
            </w:pPr>
            <w:r>
              <w:rPr>
                <w:rFonts w:ascii="宋体" w:hAnsi="宋体" w:eastAsia="宋体" w:cs="宋体"/>
                <w:sz w:val="24"/>
                <w:szCs w:val="24"/>
              </w:rPr>
              <w:t>b4不同投标人存在串通投标的其他情形。</w:t>
            </w:r>
          </w:p>
          <w:p w14:paraId="65899B07">
            <w:pPr>
              <w:pStyle w:val="14"/>
              <w:spacing w:line="360" w:lineRule="auto"/>
              <w:rPr>
                <w:rFonts w:hint="default" w:ascii="宋体" w:hAnsi="宋体" w:eastAsia="宋体" w:cs="宋体"/>
                <w:sz w:val="24"/>
                <w:szCs w:val="24"/>
              </w:rPr>
            </w:pPr>
            <w:r>
              <w:rPr>
                <w:rFonts w:ascii="宋体" w:hAnsi="宋体" w:eastAsia="宋体" w:cs="宋体"/>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14:paraId="0C75A04D">
            <w:pPr>
              <w:pStyle w:val="14"/>
              <w:spacing w:line="360" w:lineRule="auto"/>
              <w:rPr>
                <w:rFonts w:hint="default" w:ascii="宋体" w:hAnsi="宋体" w:eastAsia="宋体" w:cs="宋体"/>
                <w:sz w:val="24"/>
                <w:szCs w:val="24"/>
              </w:rPr>
            </w:pPr>
            <w:r>
              <w:rPr>
                <w:rFonts w:ascii="宋体" w:hAnsi="宋体" w:eastAsia="宋体" w:cs="宋体"/>
                <w:sz w:val="24"/>
                <w:szCs w:val="24"/>
              </w:rPr>
              <w:t>⑧其他：</w:t>
            </w:r>
          </w:p>
          <w:p w14:paraId="3F91849E">
            <w:pPr>
              <w:pStyle w:val="14"/>
              <w:spacing w:line="360" w:lineRule="auto"/>
              <w:rPr>
                <w:rFonts w:hint="default" w:ascii="宋体" w:hAnsi="宋体" w:eastAsia="宋体" w:cs="宋体"/>
                <w:sz w:val="24"/>
                <w:szCs w:val="24"/>
              </w:rPr>
            </w:pPr>
            <w:r>
              <w:rPr>
                <w:rFonts w:ascii="宋体" w:hAnsi="宋体" w:eastAsia="宋体" w:cs="宋体"/>
                <w:sz w:val="24"/>
                <w:szCs w:val="24"/>
              </w:rPr>
              <w:t>a.根据《福建省财政厅关于电子化政府采购项目中视为串标情形认定与处理的指导意见》闽财购〔2018〕30号规定，有下列情形之一的，视为投标人串通投标，其投标无效，没收其投标保证金，并书面报告本级财政部门：a1不同投标人的投标保证金转出账户的银行账户名称相同的；a2投标人上传电子投标文件被福建省政府采购网上公开信息系统投标客户端所赋予的项目内部识别码与本招标项目的其他投标人相同的；a3系统记录的编制电子投标文件使用的计算机或上传电子投标文件使用的计算机网卡 MAC 地址与本招标项目的其他投标人一致的；a4投标人上传的电子投标文件若出现使用本项目其他投标人的数字证书加密的或加盖本项目的其他投标人的电子印章的。a5不同投标人被福建省政府采购网上公开信息系统判定为串通投标的其他情形。b、潜在供应商在福建省政府采购网上公开信息系统注册报名时应录入供应商中文全称，不应使用简称、字母、符号等，否则有可能造成电子投标无法进行或核验保证金未能通过而导致投标失败。c、投标人在开标现场用于解密的CA必须与制作该项目电子投标文件时所用CA为同一把CA，否则无法解密。 解密完成后，CA将退还投标人。d、福建省政府采购网上公开信息系统对投标保证金实行一个项目（采购包）一个帐号的制度，系统平台自动生成供应商所投采购包的缴交银行账号，同一项目不同采购包同一投标人或不同投标人系统自动生成的帐号均不相同，不得混用。 同一项目再次采购时将采用不同的帐号，投标人需重新缴交投标保证金，否则会造成开标前核验保证金不能通过而导致投标失败。投标截止时间前投标人缴交的投标保证金处于保密状态，招标代理机构无法查询投标保证金的到帐情况，请供应商务必留意。e、本项目支持远程开标，投标人可通过远程线上参与开标，具体系统操作指南详见福建省政府采购网首页上相关操作手册。e1本项目开标过程中解密及远程签章的操作时限均为30分钟，请投标人务必密切关注实时开标流程，完成远程解密、远程签章。e2投标人应确保自身设施、设备、网络环境状况良好，在开标过程中因投标人自身原因未在规定的操作时间内完成投标文件的解密，逾期未解密的，视为自行放弃投标。投标人未在规定的操作时间内完成远程签章的，视为默认开标结果。e3在开标过程中，因系统故障等导致无法继续进行开标的，投标人须配合等待故障处理，待故障解除后继续开标。</w:t>
            </w:r>
          </w:p>
        </w:tc>
      </w:tr>
    </w:tbl>
    <w:p w14:paraId="06FC519A">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461B0564">
      <w:pPr>
        <w:pStyle w:val="14"/>
        <w:spacing w:line="360" w:lineRule="auto"/>
        <w:jc w:val="center"/>
        <w:outlineLvl w:val="1"/>
        <w:rPr>
          <w:rFonts w:hint="default" w:ascii="宋体" w:hAnsi="宋体" w:eastAsia="宋体" w:cs="宋体"/>
          <w:sz w:val="28"/>
          <w:szCs w:val="28"/>
        </w:rPr>
      </w:pPr>
      <w:r>
        <w:rPr>
          <w:rFonts w:ascii="宋体" w:hAnsi="宋体" w:eastAsia="宋体" w:cs="宋体"/>
          <w:b/>
          <w:sz w:val="28"/>
          <w:szCs w:val="28"/>
        </w:rPr>
        <w:t>第三章 投标人须知</w:t>
      </w:r>
    </w:p>
    <w:p w14:paraId="47EAA8B5">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一、总则</w:t>
      </w:r>
    </w:p>
    <w:p w14:paraId="6E58917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1、适用范围</w:t>
      </w:r>
    </w:p>
    <w:p w14:paraId="495B3AB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1.1适用于招标文件载明项目的政府采购活动（以下简称：“本次采购活动”）。</w:t>
      </w:r>
    </w:p>
    <w:p w14:paraId="11B597F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2、定义</w:t>
      </w:r>
    </w:p>
    <w:p w14:paraId="4FE7C7B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2.1“采购标的”指招标文件载明的需要采购的货物或服务。</w:t>
      </w:r>
    </w:p>
    <w:p w14:paraId="7C4E17B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2.2“潜在投标人”指按照招标文件第一章第7条规定获取招标文件且有意向参加本项目投标的供应商。</w:t>
      </w:r>
    </w:p>
    <w:p w14:paraId="60C5136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2.3“投标人”指按照招标文件第一章第7条规定获取招标文件并参加本项目投标的供应商。</w:t>
      </w:r>
    </w:p>
    <w:p w14:paraId="4612DF5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2.4“单位负责人”指单位法定代表人或法律、法规规定代表单位行使职权的主要负责人。</w:t>
      </w:r>
    </w:p>
    <w:p w14:paraId="44234DD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2.5“投标人代表”指投标人的单位负责人或“单位负责人授权书”中载明的接受授权方。</w:t>
      </w:r>
    </w:p>
    <w:p w14:paraId="3A514CBF">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二、投标人</w:t>
      </w:r>
    </w:p>
    <w:p w14:paraId="63058B7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3、合格投标人</w:t>
      </w:r>
    </w:p>
    <w:p w14:paraId="35AB78E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3.1一般规定</w:t>
      </w:r>
    </w:p>
    <w:p w14:paraId="5A0CC6F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730363AC">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37E6B58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（2）投标人的资格要求：详见招标文件第一章。</w:t>
      </w:r>
    </w:p>
    <w:p w14:paraId="2C938EF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3.2若本项目接受联合体投标且投标人为联合体，则联合体各方应遵守本章第3.1条规定，同时还应遵守下列规定：</w:t>
      </w:r>
    </w:p>
    <w:p w14:paraId="5C3BE3D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（1）联合体各方应提交联合体协议，联合体协议应符合招标文件规定。</w:t>
      </w:r>
    </w:p>
    <w:p w14:paraId="1B8F703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（2）联合体各方不得再单独参加或与其他供应商另外组成联合体参加同一合同项下的投标。</w:t>
      </w:r>
    </w:p>
    <w:p w14:paraId="5C69659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（3）联合体各方应共同与采购人签订政府采购合同，就政府采购合同约定的事项对采购人承担连带责任。</w:t>
      </w:r>
    </w:p>
    <w:p w14:paraId="493AD6C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58A72B9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（5）联合体一方放弃中标的，视为联合体整体放弃中标，联合体各方承担连带责任。</w:t>
      </w:r>
    </w:p>
    <w:p w14:paraId="1B639FF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（6）如本项目不接受联合体投标而投标人为联合体的，或者本项目接受联合体投标但投标人组成的联合体不符合本章第3.2条规定的，投标无效。</w:t>
      </w:r>
    </w:p>
    <w:p w14:paraId="3FB8F40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4、投标费用</w:t>
      </w:r>
    </w:p>
    <w:p w14:paraId="390302B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4.1除招标文件另有规定外，投标人应自行承担其参加本项目投标所涉及的一切费用。</w:t>
      </w:r>
    </w:p>
    <w:p w14:paraId="15B5630D">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三、招标</w:t>
      </w:r>
    </w:p>
    <w:p w14:paraId="766A646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5、招标文件</w:t>
      </w:r>
    </w:p>
    <w:p w14:paraId="061D820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5.1招标文件由下述部分组成：</w:t>
      </w:r>
    </w:p>
    <w:p w14:paraId="1475288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（1）投标邀请</w:t>
      </w:r>
    </w:p>
    <w:p w14:paraId="1FF6AEB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（2）投标人须知前附表（表1、2）</w:t>
      </w:r>
    </w:p>
    <w:p w14:paraId="7642EEC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（3）投标人须知</w:t>
      </w:r>
    </w:p>
    <w:p w14:paraId="6155B01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（4）资格审查与评标</w:t>
      </w:r>
    </w:p>
    <w:p w14:paraId="2393289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（5）招标内容及要求</w:t>
      </w:r>
    </w:p>
    <w:p w14:paraId="0AE8314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（6）政府采购合同（参考文本）</w:t>
      </w:r>
    </w:p>
    <w:p w14:paraId="4D1B153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（7）电子投标文件格式</w:t>
      </w:r>
    </w:p>
    <w:p w14:paraId="3AB4878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（8）按照招标文件规定作为招标文件组成部分的其他内容（若有）</w:t>
      </w:r>
    </w:p>
    <w:p w14:paraId="6CFB89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5.2招标文件的澄清或修改</w:t>
      </w:r>
    </w:p>
    <w:p w14:paraId="2421AC0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 福建省中凯招标代理有限公司 可对已发出的招标文件进行必要的澄清或修改，但不得对招标文件载明的采购标的和投标人的资格要求进行改变。</w:t>
      </w:r>
    </w:p>
    <w:p w14:paraId="013A1F2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（2）除本章第5.2条第（3）款规定情形外，澄清或修改的内容可能影响电子投标文件编制的， 福建省中凯招标代理有限公司 将在投标截止时间至少15个日历日前，在招标文件载明的指定媒体以更正公告的形式发布澄清或修改的内容。不足15个日历日的， 福建省中凯招标代理有限公司 将顺延投标截止时间及开标时间， 福建省中凯招标代理有限公司 和投标人受原投标截止时间及开标时间制约的所有权利和义务均延长至新的投标截止时间及开标时间。</w:t>
      </w:r>
    </w:p>
    <w:p w14:paraId="36CCB87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（3）澄清或修改的内容可能改变招标文件载明的采购标的和投标人的资格要求的，本次采购活动结束， 福建省中凯招标代理有限公司 将依法组织后续采购活动（包括但不限于：重新招标、采用其他方式采购等）。</w:t>
      </w:r>
    </w:p>
    <w:p w14:paraId="067EC22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6、现场考察或开标前答疑会</w:t>
      </w:r>
    </w:p>
    <w:p w14:paraId="14A1564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6.1是否组织现场考察或召开开标前答疑会：详见招标文件第二章。</w:t>
      </w:r>
    </w:p>
    <w:p w14:paraId="016FF73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7、更正公告</w:t>
      </w:r>
    </w:p>
    <w:p w14:paraId="22B5984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7.1若 福建省中凯招标代理有限公司 发布更正公告，则更正公告及其所发布的内容或信息（包括但不限于：招标文件的澄清或修改、现场考察或答疑会的有关事宜等）作为招标文件组成部分，对投标人具有约束力。</w:t>
      </w:r>
    </w:p>
    <w:p w14:paraId="25A8807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7.2更正公告作为 福建省中凯招标代理有限公司 通知所有潜在投标人的书面形式。</w:t>
      </w:r>
    </w:p>
    <w:p w14:paraId="0140782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8、终止公告</w:t>
      </w:r>
    </w:p>
    <w:p w14:paraId="76A74FC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8.1若出现因重大变故导致采购任务取消情形， 福建省中凯招标代理有限公司 可终止招标并发布终止公告。</w:t>
      </w:r>
    </w:p>
    <w:p w14:paraId="1BFEE55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8.2终止公告作为 福建省中凯招标代理有限公司 通知所有潜在投标人的书面形式。</w:t>
      </w:r>
    </w:p>
    <w:p w14:paraId="134DD368">
      <w:pPr>
        <w:pStyle w:val="14"/>
        <w:spacing w:line="360" w:lineRule="auto"/>
        <w:ind w:firstLine="480"/>
        <w:jc w:val="both"/>
        <w:outlineLvl w:val="2"/>
        <w:rPr>
          <w:rFonts w:hint="default" w:ascii="宋体" w:hAnsi="宋体" w:eastAsia="宋体" w:cs="宋体"/>
          <w:sz w:val="24"/>
          <w:szCs w:val="24"/>
        </w:rPr>
      </w:pPr>
      <w:r>
        <w:rPr>
          <w:rFonts w:ascii="宋体" w:hAnsi="宋体" w:eastAsia="宋体" w:cs="宋体"/>
          <w:b/>
          <w:sz w:val="24"/>
          <w:szCs w:val="24"/>
        </w:rPr>
        <w:t>四、投标</w:t>
      </w:r>
    </w:p>
    <w:p w14:paraId="544FA55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9、投标</w:t>
      </w:r>
    </w:p>
    <w:p w14:paraId="02CFD9C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9.1投标人可对招标文件载明的全部或部分采购包进行投标。</w:t>
      </w:r>
    </w:p>
    <w:p w14:paraId="36BF347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9.2投标人应对同一个采购包内的所有内容进行完整投标，否则投标无效。</w:t>
      </w:r>
    </w:p>
    <w:p w14:paraId="00F6693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9.3投标人代表只能接受一个投标人的授权参加投标，否则投标无效。</w:t>
      </w:r>
    </w:p>
    <w:p w14:paraId="5F4496D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9.4单位负责人为同一人或存在直接控股、管理关系的不同供应商，不得同时参加同一合同项下的投标，否则投标无效。</w:t>
      </w:r>
    </w:p>
    <w:p w14:paraId="35D4974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9.5为本项目提供整体设计、规范编制或项目管理、监理、检测等服务的供应商，不得参加本项目除整体设计、规范编制和项目管理、监理、检测等服务外的采购活动，否则投标无效。</w:t>
      </w:r>
    </w:p>
    <w:p w14:paraId="5243D96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9.6列入失信被执行人、重大税收违法案件当事人名单、政府采购严重违法失信行为记录名单及其他不符合政府采购法第二十二条规定条件的供应商，不得参加投标，否则投标无效。</w:t>
      </w:r>
    </w:p>
    <w:p w14:paraId="44B4920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9.7有下列情形之一的，视为投标人串通投标，其投标无效：</w:t>
      </w:r>
    </w:p>
    <w:p w14:paraId="48BECF2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（1）不同投标人的电子投标文件由同一单位或个人编制；</w:t>
      </w:r>
    </w:p>
    <w:p w14:paraId="245DE6D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（2）不同投标人委托同一单位或个人办理投标事宜；</w:t>
      </w:r>
    </w:p>
    <w:p w14:paraId="1843879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（3）不同投标人的电子投标文件载明的项目管理成员或联系人员为同一人；</w:t>
      </w:r>
    </w:p>
    <w:p w14:paraId="20BC38F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（4）不同投标人的电子投标文件异常一致或投标报价呈规律性差异；</w:t>
      </w:r>
    </w:p>
    <w:p w14:paraId="0E3AC39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（5）不同投标人的电子投标文件相互混装；</w:t>
      </w:r>
    </w:p>
    <w:p w14:paraId="235DB70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（6）不同投标人的投标保证金从同一单位或个人的账户转出；</w:t>
      </w:r>
    </w:p>
    <w:p w14:paraId="732D94C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（7）有关法律、法规和规章及招标文件规定的其他串通投标情形。</w:t>
      </w:r>
    </w:p>
    <w:p w14:paraId="1A22DE0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10、电子投标文件</w:t>
      </w:r>
    </w:p>
    <w:p w14:paraId="207FF4B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10.1电子投标文件的编制</w:t>
      </w:r>
    </w:p>
    <w:p w14:paraId="7936B1B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（1）投标人应先仔细阅读招标文件的全部内容后，再进行电子投标文件的编制。</w:t>
      </w:r>
    </w:p>
    <w:p w14:paraId="25D2D5B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（2）电子投标文件应按照本章第10.2条规定编制其组成部分。</w:t>
      </w:r>
    </w:p>
    <w:p w14:paraId="18C4777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（3）电子投标文件应满足招标文件提出的实质性要求和条件，并保证其所提交的全部资料是不可割离且真实、有效、准确、完整和不具有任何误导性的，否则造成不利后果由投标人承担责任。</w:t>
      </w:r>
    </w:p>
    <w:p w14:paraId="49E9593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10.2电子投标文件由下述部分组成：</w:t>
      </w:r>
    </w:p>
    <w:p w14:paraId="28B4B58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（1）资格及资信证明部分</w:t>
      </w:r>
    </w:p>
    <w:p w14:paraId="3900927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①投标函</w:t>
      </w:r>
    </w:p>
    <w:p w14:paraId="7BE04F5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②投标人的资格及资信证明文件</w:t>
      </w:r>
    </w:p>
    <w:p w14:paraId="3303270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③投标保证金</w:t>
      </w:r>
    </w:p>
    <w:p w14:paraId="0DFAD27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（2）报价部分</w:t>
      </w:r>
    </w:p>
    <w:p w14:paraId="605E81C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①开标（报价）一览表</w:t>
      </w:r>
    </w:p>
    <w:p w14:paraId="464FCA6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②投标（响应）报价明细表</w:t>
      </w:r>
    </w:p>
    <w:p w14:paraId="122235E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③招标文件规定的价格扣除证明材料（若有）</w:t>
      </w:r>
    </w:p>
    <w:p w14:paraId="09CCD72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④招标文件规定的加分证明材料（若有）</w:t>
      </w:r>
    </w:p>
    <w:p w14:paraId="4F54C54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（3）技术商务部分</w:t>
      </w:r>
    </w:p>
    <w:p w14:paraId="4A352FA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①标的说明一览表</w:t>
      </w:r>
    </w:p>
    <w:p w14:paraId="1C45DE7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②技术和服务要求响应表</w:t>
      </w:r>
    </w:p>
    <w:p w14:paraId="2A9CC91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③商务条件响应表</w:t>
      </w:r>
    </w:p>
    <w:p w14:paraId="0737A3D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④投标人提交的其他资料（若有）</w:t>
      </w:r>
    </w:p>
    <w:p w14:paraId="1D29D66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⑤招标文件规定作为电子投标文件组成部分的其他内容（若有）</w:t>
      </w:r>
    </w:p>
    <w:p w14:paraId="121920B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10.3电子投标文件的语言</w:t>
      </w:r>
    </w:p>
    <w:p w14:paraId="653AFD1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（1）除招标文件另有规定外，电子投标文件应使用中文文本，若有不同文本，以中文文本为准。</w:t>
      </w:r>
    </w:p>
    <w:p w14:paraId="46B5B40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8E8D68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10.4投标文件的份数：详见招标文件第二章。</w:t>
      </w:r>
    </w:p>
    <w:p w14:paraId="3DFE0C8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10.5电子投标文件的格式</w:t>
      </w:r>
    </w:p>
    <w:p w14:paraId="48F949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（1）除招标文件另有规定外，电子投标文件应使用招标文件第七章规定的格式。</w:t>
      </w:r>
    </w:p>
    <w:p w14:paraId="6223018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（2）除招标文件另有规定外，电子投标文件应使用不能擦去的墨料或墨水打印、书写或复印。</w:t>
      </w:r>
    </w:p>
    <w:p w14:paraId="6CBED9F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（3）除招标文件另有规定外，电子投标文件应使用人民币作为计量货币。</w:t>
      </w:r>
    </w:p>
    <w:p w14:paraId="52FBC24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（4）除招标文件另有规定外，签署、盖章应遵守下列规定：</w:t>
      </w:r>
    </w:p>
    <w:p w14:paraId="726111C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①电子投标文件应加盖投标人的单位公章。若投标人代表为单位授权的委托代理人，应提供“单位授权书”。</w:t>
      </w:r>
    </w:p>
    <w:p w14:paraId="0991C3F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②电子投标文件应没有涂改或行间插字，除非这些改动是根据 福建省中凯招标代理有限公司 的指示进行的，或是为改正投标人造成的应修改的错误而进行的。若有前述改动，应按照下列规定之一对改动处进行处理：</w:t>
      </w:r>
    </w:p>
    <w:p w14:paraId="070F15B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a.投标人代表签字确认；</w:t>
      </w:r>
    </w:p>
    <w:p w14:paraId="6F7D001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b.加盖投标人的单位公章或校正章。</w:t>
      </w:r>
    </w:p>
    <w:p w14:paraId="1382A95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10.6投标报价</w:t>
      </w:r>
    </w:p>
    <w:p w14:paraId="1548BE5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（1）投标报价超出最高限价将导致投标无效。</w:t>
      </w:r>
    </w:p>
    <w:p w14:paraId="460CACC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（2）最高限价由采购人根据价格测算情况，在预算金额的额度内合理设定。最高限价不得超出预算金额。</w:t>
      </w:r>
    </w:p>
    <w:p w14:paraId="283632C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（3）除招标文件另有规定外，电子投标文件不能出现任何选择性的投标报价，即每一个采购包和品目号的采购标的都只能有一个投标报价。任何选择性的投标报价将导致投标无效。</w:t>
      </w:r>
    </w:p>
    <w:p w14:paraId="777606A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10.7分包</w:t>
      </w:r>
    </w:p>
    <w:p w14:paraId="277029C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（1）是否允许中标人将本项目的非主体、非关键性工作进行分包：详见招标文件第二章。</w:t>
      </w:r>
    </w:p>
    <w:p w14:paraId="79D9264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2E3E09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（3）招标文件允许中标人将非主体、非关键性工作进行分包的项目，有下列情形之一的，中标人不得分包：</w:t>
      </w:r>
    </w:p>
    <w:p w14:paraId="6EA1D6F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①电子投标文件中未载明分包承担主体；</w:t>
      </w:r>
    </w:p>
    <w:p w14:paraId="242E2D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②电子投标文件载明的分包承担主体不具备相应资质条件；</w:t>
      </w:r>
    </w:p>
    <w:p w14:paraId="12DF365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③电子投标文件载明的分包承担主体拟再次分包；</w:t>
      </w:r>
    </w:p>
    <w:p w14:paraId="72E7418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④享受中小企业扶持政策获得政府采购合同的，小微企业不得将合同分包给大中型企业，中型企业不得将合同分包给大型企业。</w:t>
      </w:r>
    </w:p>
    <w:p w14:paraId="63522CD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10.8投标有效期</w:t>
      </w:r>
    </w:p>
    <w:p w14:paraId="4272CE6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（1）招标文件载明的投标有效期：详见招标文件第二章。</w:t>
      </w:r>
    </w:p>
    <w:p w14:paraId="0EEDA52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（2）电子投标文件承诺的投标有效期不得少于招标文件载明的投标有效期，否则投标无效。</w:t>
      </w:r>
    </w:p>
    <w:p w14:paraId="5A6154C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（3）根据本次采购活动的需要， 福建省中凯招标代理有限公司 可于投标有效期届满之前书面要求投标人延长投标有效期，投标人应在 福建省中凯招标代理有限公司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76604C4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10.9投标保证金</w:t>
      </w:r>
    </w:p>
    <w:p w14:paraId="5C33F57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（1）投标保证金作为投标人按照招标文件规定履行相应投标责任、义务的约束及担保。</w:t>
      </w:r>
    </w:p>
    <w:p w14:paraId="15005A8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（2）投标人以电子保函形式提交投标保证金的，保函的有效期应等于或长于电子投标文件承诺的投标有效期，否则投标无效。</w:t>
      </w:r>
    </w:p>
    <w:p w14:paraId="7CB1EDE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（3）提交</w:t>
      </w:r>
    </w:p>
    <w:p w14:paraId="5F43107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①投标人以汇款形式缴纳投标保证金的，应从其银行账户（基本存款账户）按照下列方式：公对公转账方式向招标文件载明的投标保证金账户提交投标保证金，具体金额详见招标文件第一章。</w:t>
      </w:r>
    </w:p>
    <w:p w14:paraId="64B4507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68C5B359">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③其他形式：</w:t>
      </w:r>
    </w:p>
    <w:p w14:paraId="7CA88AFA">
      <w:pPr>
        <w:pStyle w:val="14"/>
        <w:spacing w:line="360" w:lineRule="auto"/>
        <w:rPr>
          <w:rFonts w:hint="default" w:ascii="宋体" w:hAnsi="宋体" w:eastAsia="宋体" w:cs="宋体"/>
          <w:sz w:val="24"/>
          <w:szCs w:val="24"/>
        </w:rPr>
      </w:pPr>
      <w:r>
        <w:rPr>
          <w:rFonts w:ascii="宋体" w:hAnsi="宋体" w:eastAsia="宋体" w:cs="宋体"/>
          <w:sz w:val="24"/>
          <w:szCs w:val="24"/>
        </w:rPr>
        <w:t>无</w:t>
      </w:r>
    </w:p>
    <w:p w14:paraId="6C40204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④若本项目接受联合体投标且投标人为联合体，则联合体中的牵头方应按照本章第10.9条第（3）款第①、②、③点规定提交投标保证金。</w:t>
      </w:r>
    </w:p>
    <w:p w14:paraId="0EDAAB9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※除招标文件另有规定外，未按照上述规定提交投标保证金将导致资格审查不合格。</w:t>
      </w:r>
    </w:p>
    <w:p w14:paraId="326DBB9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（4）退还</w:t>
      </w:r>
    </w:p>
    <w:p w14:paraId="2D59155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①在投标截止时间前撤回已提交的电子投标文件的投标人，其投标保证金将在 福建省中凯招标代理有限公司 收到投标人书面撤回通知之日起5个工作日内退回原账户。</w:t>
      </w:r>
    </w:p>
    <w:p w14:paraId="534B404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②未中标人的投标保证金将在中标通知书发出之日起5个工作日内退回原账户。</w:t>
      </w:r>
    </w:p>
    <w:p w14:paraId="36E783D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③中标人的投标保证金将在政府采购合同签订之日起5个工作日内退回原账户；合同签订之日以福建省政府采购网上公开信息系统记载的为准。</w:t>
      </w:r>
    </w:p>
    <w:p w14:paraId="45D9B47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④终止招标的， 福建省中凯招标代理有限公司 将在终止公告发布之日起5个工作日内退回已收取的投标保证金及其在银行产生的孳息。</w:t>
      </w:r>
    </w:p>
    <w:p w14:paraId="391F55D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⑤除招标文件另有规定外，质疑或投诉涉及的投标人，若投标保证金尚未退还，则待质疑或投诉处理完毕后不计利息原额退还。</w:t>
      </w:r>
    </w:p>
    <w:p w14:paraId="3D2B18A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※本章第10.9条第（4）款第①、②、③点规定的投标保证金退还时限不包括因投标人自身原因导致无法及时退还而增加的时间。</w:t>
      </w:r>
    </w:p>
    <w:p w14:paraId="52029BF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6E69DC2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（6）有下列情形之一的，投标保证金将不予退还或通过投标保函进行索赔：</w:t>
      </w:r>
    </w:p>
    <w:p w14:paraId="1EA3DA2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①投标人串通投标；</w:t>
      </w:r>
    </w:p>
    <w:p w14:paraId="5CC5C14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②投标人提供虚假材料；</w:t>
      </w:r>
    </w:p>
    <w:p w14:paraId="5DC96EA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③投标人采取不正当手段诋毁、排挤其他投标人；</w:t>
      </w:r>
    </w:p>
    <w:p w14:paraId="4B3F15F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④投标截止时间后，投标人在投标有效期内撤销电子投标文件；</w:t>
      </w:r>
    </w:p>
    <w:p w14:paraId="336D984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⑤招标文件规定的其他不予退还情形；</w:t>
      </w:r>
    </w:p>
    <w:p w14:paraId="6F6EF55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⑥中标人有下列情形之一的：</w:t>
      </w:r>
    </w:p>
    <w:p w14:paraId="6829BCF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a.除不可抗力外，因中标人自身原因未在中标通知书要求的期限内与采购人签订政府采购合同；</w:t>
      </w:r>
    </w:p>
    <w:p w14:paraId="39B8A45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b.未按照招标文件、投标文件的约定签订政府采购合同或提交履约保证金。</w:t>
      </w:r>
    </w:p>
    <w:p w14:paraId="379A87B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※若上述投标保证金不予退还情形给采购人（采购代理机构）造成损失，则投标人还要承担相应的赔偿责任。</w:t>
      </w:r>
    </w:p>
    <w:p w14:paraId="23F927C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10.10电子投标文件的提交</w:t>
      </w:r>
    </w:p>
    <w:p w14:paraId="50BD91C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（1）一个投标人只能提交一个电子投标文件，并按照招标文件第一章规定在系统上完成上传、解密操作。</w:t>
      </w:r>
    </w:p>
    <w:p w14:paraId="0240E7F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10.11电子投标文件的补充、修改或撤回</w:t>
      </w:r>
    </w:p>
    <w:p w14:paraId="1CCE613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（1）投标截止时间前，投标人可对所提交的电子投标文件进行补充、修改或撤回，并书面通知 福建省中凯招标代理有限公司 。</w:t>
      </w:r>
    </w:p>
    <w:p w14:paraId="0B8BDF7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（2）补充、修改的内容应按照本章第10.5条第（4）款规定进行签署、盖章，并按照本章第10.10条规定提交，否则将被拒收。</w:t>
      </w:r>
    </w:p>
    <w:p w14:paraId="7263317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※按照上述规定提交的补充、修改内容作为电子投标文件组成部分。</w:t>
      </w:r>
    </w:p>
    <w:p w14:paraId="2718D96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10.12除招标文件另有规定外，有下列情形之一的，投标无效：</w:t>
      </w:r>
    </w:p>
    <w:p w14:paraId="46C2815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（1）电子投标文件未按照招标文件要求签署、盖章；</w:t>
      </w:r>
    </w:p>
    <w:p w14:paraId="43C51EA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（2）不符合招标文件中规定的资格要求；</w:t>
      </w:r>
    </w:p>
    <w:p w14:paraId="20D0AFD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（3）投标报价超过招标文件中规定的预算金额或最高限价；</w:t>
      </w:r>
    </w:p>
    <w:p w14:paraId="0502492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（4）电子投标文件含有采购人不能接受的附加条件；</w:t>
      </w:r>
    </w:p>
    <w:p w14:paraId="54F9AAB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（5）有关法律、法规和规章及招标文件规定的其他无效情形。</w:t>
      </w:r>
    </w:p>
    <w:p w14:paraId="671BDF0D">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五、开标</w:t>
      </w:r>
    </w:p>
    <w:p w14:paraId="51EEA51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11、开标</w:t>
      </w:r>
    </w:p>
    <w:p w14:paraId="592E107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11.1 福建省中凯招标代理有限公司 将在招标文件载明的开标时间及地点主持召开开标会，并邀请投标人参加。</w:t>
      </w:r>
    </w:p>
    <w:p w14:paraId="52D65E2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11.2开标会的主持人、唱标人、记录人及其他工作人员（若有）均由 福建省中凯招标代理有限公司 派出，现场监督人员（若有）可由有关方面派出。</w:t>
      </w:r>
    </w:p>
    <w:p w14:paraId="6B15298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1E7F19D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11.4开标会应遵守下列规定：</w:t>
      </w:r>
    </w:p>
    <w:p w14:paraId="6C4F44C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32CAF1E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02C6817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（3）唱标结束后，参加现场开标会的投标人代表应对开标记录进行签字确认，通过远程参与开标流程的投标人须在系统远程签章开启后，在系统规定时间内对开标结果进行签章确认。</w:t>
      </w:r>
    </w:p>
    <w:p w14:paraId="626868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3F3BB7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（5）若投标人未到开标现场参加开标会，也未通过远程参加开标会的，视同认可开标结果。</w:t>
      </w:r>
    </w:p>
    <w:p w14:paraId="13DFF5A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福建省中凯招标代理有限公司 提出任何疑义或要求（包括质疑）。</w:t>
      </w:r>
    </w:p>
    <w:p w14:paraId="19EDE7F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11.5投标截止时间后，参加投标的投标人不足三家的，不进行开标。同时，本次采购活动结束， 福建省中凯招标代理有限公司 将依法组织后续采购活动（包括但不限于：重新招标、采用其他方式采购等）。</w:t>
      </w:r>
    </w:p>
    <w:p w14:paraId="6D2CE4B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11.6投标截止时间后撤销投标的处理</w:t>
      </w:r>
    </w:p>
    <w:p w14:paraId="5C30550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投标截止时间后，投标人在投标有效期内撤销投标的，其撤销投标的行为无效。</w:t>
      </w:r>
    </w:p>
    <w:p w14:paraId="76F60C34">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六、中标与政府采购合同</w:t>
      </w:r>
    </w:p>
    <w:p w14:paraId="01CEFD4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12、中标</w:t>
      </w:r>
    </w:p>
    <w:p w14:paraId="10ADF9A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12.1本项目推荐的中标候选人家数：详见招标文件第二章。</w:t>
      </w:r>
    </w:p>
    <w:p w14:paraId="166C71E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12.2本项目中标人的确定：详见招标文件第二章。</w:t>
      </w:r>
    </w:p>
    <w:p w14:paraId="24EDF7B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12.3中标公告</w:t>
      </w:r>
    </w:p>
    <w:p w14:paraId="5811456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（1）中标人确定之日起2个工作日内， 福建省中凯招标代理有限公司 将在招标文件载明的指定媒体以中标公告的形式发布中标结果。</w:t>
      </w:r>
    </w:p>
    <w:p w14:paraId="0B415CB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（2）中标公告的公告期限为1个工作日。</w:t>
      </w:r>
    </w:p>
    <w:p w14:paraId="7B669A0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12.4中标通知书</w:t>
      </w:r>
    </w:p>
    <w:p w14:paraId="54EB61A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（1）中标公告发布的同时， 福建省中凯招标代理有限公司 将向中标人发出中标通知书。</w:t>
      </w:r>
    </w:p>
    <w:p w14:paraId="05EBFFA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（2）中标通知书发出后，采购人不得违法改变中标结果，中标人无正当理由不得放弃中标。</w:t>
      </w:r>
    </w:p>
    <w:p w14:paraId="1448B00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13、政府采购合同</w:t>
      </w:r>
    </w:p>
    <w:p w14:paraId="73E5634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5971CF8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13.2签订时限：详见须知前附表1的13.2。</w:t>
      </w:r>
    </w:p>
    <w:p w14:paraId="4348C0E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13.3政府采购合同的履行、违约责任和解决争议的方法等适用民法典。</w:t>
      </w:r>
    </w:p>
    <w:p w14:paraId="5C43A7E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13.4采购人与中标人应根据政府采购合同的约定依法履行合同义务。</w:t>
      </w:r>
    </w:p>
    <w:p w14:paraId="5A5A2C0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13.5政府采购合同履行过程中，采购人若需追加与合同标的相同的货物或服务，则追加采购金额不得超过原合同采购金额的10%。</w:t>
      </w:r>
    </w:p>
    <w:p w14:paraId="4AFF642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13.6中标人在政府采购合同履行过程中应遵守有关法律、法规和规章的强制性规定（即使前述强制性规定有可能在招标文件中未予列明）。</w:t>
      </w:r>
    </w:p>
    <w:p w14:paraId="0B2CFF36">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七、询问、质疑与投诉</w:t>
      </w:r>
    </w:p>
    <w:p w14:paraId="5D60279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14、询问</w:t>
      </w:r>
    </w:p>
    <w:p w14:paraId="4BC207A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14.1潜在投标人或投标人对本次采购活动的有关事项若有疑问，可向 福建省中凯招标代理有限公司 提出询问， 福建省中凯招标代理有限公司 将按照政府采购法及实施条例的有关规定进行答复。</w:t>
      </w:r>
    </w:p>
    <w:p w14:paraId="2CD7EBA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15、质疑</w:t>
      </w:r>
    </w:p>
    <w:p w14:paraId="0D53E6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14:paraId="749D464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（1）对招标文件提出质疑的，质疑人应为潜在投标人，且两者的身份、名称等均应保持一致。对采购过程、结果提出质疑的，质疑人应为投标人，且两者的身份、名称等均应保持一致。</w:t>
      </w:r>
    </w:p>
    <w:p w14:paraId="4C901FA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（2）质疑人应按照招标文件第二章规定方式提交质疑函。</w:t>
      </w:r>
    </w:p>
    <w:p w14:paraId="0CB793A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（3）质疑函应包括下列主要内容：</w:t>
      </w:r>
    </w:p>
    <w:p w14:paraId="20302E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①质疑人的基本信息，至少包括：全称、地址、邮政编码等；</w:t>
      </w:r>
    </w:p>
    <w:p w14:paraId="6629826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②所质疑项目的基本信息，至少包括：项目编号、项目名称等；</w:t>
      </w:r>
    </w:p>
    <w:p w14:paraId="4373D10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③所质疑的具体事项（以下简称：“质疑事项”）；</w:t>
      </w:r>
    </w:p>
    <w:p w14:paraId="7F2F782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④针对质疑事项提出的明确请求，前述明确请求指质疑人提出质疑的目的以及希望 福建省中凯招标代理有限公司 对其质疑作出的处理结果，如：暂停招标投标活动、修改招标文件、停止或纠正违法违规行为、中标结果无效、废标、重新招标等；</w:t>
      </w:r>
    </w:p>
    <w:p w14:paraId="4DF2406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⑤针对质疑事项导致质疑人自身权益受到损害的必要证明材料，至少包括：</w:t>
      </w:r>
    </w:p>
    <w:p w14:paraId="2391396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a.质疑人代表的身份证明材料：</w:t>
      </w:r>
    </w:p>
    <w:p w14:paraId="67FD4D2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7A1C9F1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a2若本项目接受自然人投标且质疑人为自然人的，提供本人的身份证复印件。</w:t>
      </w:r>
    </w:p>
    <w:p w14:paraId="0317C81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b.其他证明材料（即事实依据和必要的法律依据）包括但不限于下列材料：</w:t>
      </w:r>
    </w:p>
    <w:p w14:paraId="586738D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b1所质疑的具体事项是与自己有利害关系的证明材料；</w:t>
      </w:r>
    </w:p>
    <w:p w14:paraId="44FB9CD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b2质疑函所述事实存在的证明材料，如：采购文件、采购过程或中标结果违法违规或不符合采购文件要求等证明材料；</w:t>
      </w:r>
    </w:p>
    <w:p w14:paraId="048C52C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b3依法应终止采购程序的证明材料；</w:t>
      </w:r>
    </w:p>
    <w:p w14:paraId="2B1DFF4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b4应重新采购的证明材料；</w:t>
      </w:r>
    </w:p>
    <w:p w14:paraId="1A7C051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b5采购文件、采购过程或中标、成交结果损害自己合法权益的证明材料等；</w:t>
      </w:r>
    </w:p>
    <w:p w14:paraId="1044C76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1477FF2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⑥质疑人代表及其联系方法的信息，至少包括：姓名、手机、电子信箱、邮寄地址等。</w:t>
      </w:r>
    </w:p>
    <w:p w14:paraId="5E202DA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⑦提出质疑的日期。</w:t>
      </w:r>
    </w:p>
    <w:p w14:paraId="6A0C6CC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※质疑人为法人或其他组织的，质疑函应由单位负责人或委托代理人签字或盖章，并加盖投标人的单位公章。质疑人为自然人的，质疑函应由本人签字。</w:t>
      </w:r>
    </w:p>
    <w:p w14:paraId="5A5FB60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15.2对不符合本章第15.1条规定的质疑，将按照下列规定进行处理：</w:t>
      </w:r>
    </w:p>
    <w:p w14:paraId="2D97ADC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（1）不符合其中第（1）、（2）条规定的，书面告知质疑人不予受理及其理由。</w:t>
      </w:r>
    </w:p>
    <w:p w14:paraId="0B70A1F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（2）不符合其中第（3）条规定的，书面告知质疑人修改、补充后在规定时限内重新提交质疑函。</w:t>
      </w:r>
    </w:p>
    <w:p w14:paraId="6F0EDF5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15.3对符合本章第15.1条规定的质疑，将按照政府采购法及实施条例、政府采购质疑和投诉办法的有关规定进行答复。</w:t>
      </w:r>
    </w:p>
    <w:p w14:paraId="39416F1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15.4招标文件的质疑：详见招标文件第二章。</w:t>
      </w:r>
    </w:p>
    <w:p w14:paraId="657F69E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16、投诉</w:t>
      </w:r>
    </w:p>
    <w:p w14:paraId="04ACC1B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1A572E4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16.2投诉应有明确的请求和必要的证明材料，投诉的事项不得超出已质疑事项的范围。</w:t>
      </w:r>
    </w:p>
    <w:p w14:paraId="0112EA47">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八、政府采购政策</w:t>
      </w:r>
    </w:p>
    <w:p w14:paraId="067A6DD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17、政府采购政策由财政部根据国家的经济和社会发展政策并会同国家有关部委制定，包括但不限于下列具体政策要求：</w:t>
      </w:r>
    </w:p>
    <w:p w14:paraId="46906E4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17.1进口产品指通过中国海关报关验放进入中国境内且产自关境外的产品，其中：</w:t>
      </w:r>
    </w:p>
    <w:p w14:paraId="5544F8A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327F8C4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（2）凡在海关特殊监管区域内企业生产或加工（包括从境外进口料件）销往境内其他地区的产品，不作为政府采购项下进口产品。</w:t>
      </w:r>
    </w:p>
    <w:p w14:paraId="7830AC7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（3）对从境外进入海关特殊监管区域，再经办理报关手续后从海关特殊监管区进入境内其他地区的产品，认定为进口产品。</w:t>
      </w:r>
    </w:p>
    <w:p w14:paraId="632F152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（4）招标文件列明不允许或未列明允许进口产品参加投标的，均视为拒绝进口产品参加投标。</w:t>
      </w:r>
    </w:p>
    <w:p w14:paraId="67DCBFE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4A305E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7E282CD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（1）中小企业指符合下列条件的中型、小型、微型企业：</w:t>
      </w:r>
    </w:p>
    <w:p w14:paraId="03526AC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609A233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②符合中小企业划分标准的个体工商户，在政府采购活动中视同中小企业。</w:t>
      </w:r>
    </w:p>
    <w:p w14:paraId="11EB877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（2）在政府采购活动中，供应商提供的货物、工程或者服务符合下列情形的，享受本办法规定的中小企业扶持政策：</w:t>
      </w:r>
    </w:p>
    <w:p w14:paraId="7E7B059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①在货物采购项目中，货物由中小企业制造，即货物由中小企业生产且使用该中小企业商号或者注册商标；</w:t>
      </w:r>
    </w:p>
    <w:p w14:paraId="389F1A7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②在工程采购项目中，工程由中小企业承建，即工程施工单位为中小企业；</w:t>
      </w:r>
    </w:p>
    <w:p w14:paraId="43C6D74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③在服务采购项目中，服务由中小企业承接，即提供服务的人员为中小企业依照《中华人民共和国劳动合同法》订立劳动合同的从业人员。</w:t>
      </w:r>
    </w:p>
    <w:p w14:paraId="18AF787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在货物采购项目中，供应商提供的货物既有中小企业制造货物，也有大型企业制造货物的，不享受本办法规定的中小企业扶持政策。</w:t>
      </w:r>
    </w:p>
    <w:p w14:paraId="1588A47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以联合体形式参加政府采购活动，联合体各方均为中小企业的，联合体视同中小企业。其中，联合体各方均为小微企业的，联合体视同小微企业。</w:t>
      </w:r>
    </w:p>
    <w:p w14:paraId="4FDA86A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（3）投标人应当按照招标文件明确的采购标的对应行业的划分标准出具中小企业声明函。</w:t>
      </w:r>
    </w:p>
    <w:p w14:paraId="312C311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2880D3F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3157260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①监狱企业参加采购活动时，应提供由省级以上监狱管理局、戒毒管理局（含新疆生产建设兵团）出具的属于监狱企业的证明文件。</w:t>
      </w:r>
    </w:p>
    <w:p w14:paraId="18ADC3F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②监狱企业视同小型、微型企业。</w:t>
      </w:r>
    </w:p>
    <w:p w14:paraId="7CB8242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（5）残疾人福利性单位指同时符合下列条件的单位：</w:t>
      </w:r>
    </w:p>
    <w:p w14:paraId="2B1EB7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①安置的残疾人占本单位在职职工人数的比例不低于25%（含25%），并且安置的残疾人人数不少于10人（含10人）；</w:t>
      </w:r>
    </w:p>
    <w:p w14:paraId="6A44835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②依法与安置的每位残疾人签订了一年以上（含一年）的劳动合同或服务协议；</w:t>
      </w:r>
    </w:p>
    <w:p w14:paraId="5F7A57A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③为安置的每位残疾人按月足额缴纳了基本养老保险、基本医疗保险、失业保险、工伤保险和生育保险等社会保险费；</w:t>
      </w:r>
    </w:p>
    <w:p w14:paraId="7CAC040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④通过银行等金融机构向安置的每位残疾人，按月支付了不低于单位所在区县适用的经省级人民政府批准的月最低工资标准的工资；</w:t>
      </w:r>
    </w:p>
    <w:p w14:paraId="011EEE1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⑤提供本单位制造的货物、承担的工程或服务，或提供其他残疾人福利性单位制造的货物（不包括使用非残疾人福利性单位注册商标的货物）。</w:t>
      </w:r>
    </w:p>
    <w:p w14:paraId="069F9F6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5619E1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62EE9BB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17.4信用记录指由财政部确定的有关网站提供的相关主体信用信息。信用记录的查询及使用应符合财政部文件（财库[2016]125号）规定。</w:t>
      </w:r>
    </w:p>
    <w:p w14:paraId="05E5AFB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17.5为落实政府采购政策需满足的要求：详见招标文件第一章。</w:t>
      </w:r>
    </w:p>
    <w:p w14:paraId="174EFE8C">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九、本项目的有关信息</w:t>
      </w:r>
    </w:p>
    <w:p w14:paraId="5E64D3A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18、本项目的有关信息，包括但不限于：招标公告、更正公告（若有）、招标文件、招标文件的澄清或修改（若有）、中标公告、终止公告（若有）、废标公告（若有）等都将在招标文件载明的指定媒体发布。</w:t>
      </w:r>
    </w:p>
    <w:p w14:paraId="4C6EC84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18.1指定媒体：详见招标文件第二章。</w:t>
      </w:r>
    </w:p>
    <w:p w14:paraId="40AD894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18.2本项目的潜在投标人或投标人应随时关注指定媒体，否则产生不利后果由其自行承担。</w:t>
      </w:r>
    </w:p>
    <w:p w14:paraId="54A5925E">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十、其他事项</w:t>
      </w:r>
    </w:p>
    <w:p w14:paraId="717E60D8">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19、其他事项：</w:t>
      </w:r>
    </w:p>
    <w:p w14:paraId="3095867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7A58145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19.2其他：详见招标文件第二章。</w:t>
      </w:r>
    </w:p>
    <w:p w14:paraId="0F0623DE">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132FF3D2">
      <w:pPr>
        <w:pStyle w:val="14"/>
        <w:spacing w:line="360" w:lineRule="auto"/>
        <w:jc w:val="center"/>
        <w:outlineLvl w:val="1"/>
        <w:rPr>
          <w:rFonts w:hint="default" w:ascii="宋体" w:hAnsi="宋体" w:eastAsia="宋体" w:cs="宋体"/>
          <w:sz w:val="28"/>
          <w:szCs w:val="28"/>
        </w:rPr>
      </w:pPr>
      <w:r>
        <w:rPr>
          <w:rFonts w:ascii="宋体" w:hAnsi="宋体" w:eastAsia="宋体" w:cs="宋体"/>
          <w:b/>
          <w:sz w:val="28"/>
          <w:szCs w:val="28"/>
        </w:rPr>
        <w:t>第四章 资格审查与评标</w:t>
      </w:r>
    </w:p>
    <w:p w14:paraId="00F9A5D8">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一、资格审查</w:t>
      </w:r>
    </w:p>
    <w:p w14:paraId="7D1FCD0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1、开标结束后，由 福建省中凯招标代理有限公司 负责资格审查小组的组建及资格审查工作的组织。</w:t>
      </w:r>
    </w:p>
    <w:p w14:paraId="61BF4EF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1.1资格审查小组</w:t>
      </w:r>
    </w:p>
    <w:p w14:paraId="630E7B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资格审查小组由3人组成，并负责具体审查事务，其中由采购人派出的采购人代表至少1人，由福建省中凯招标代理有限公司派出的工作人员至少1人，其余1人可为采购人代表或福建省中凯招标代理有限公司的工作人员。</w:t>
      </w:r>
    </w:p>
    <w:p w14:paraId="3DDFEBB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1.2资格审查的依据是招标文件和电子投标文件。</w:t>
      </w:r>
    </w:p>
    <w:p w14:paraId="1C0DE5E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1.3资格审查的范围及内容：电子投标文件（资格及资信证明部分），具体如下：</w:t>
      </w:r>
    </w:p>
    <w:p w14:paraId="4A72717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（1）“投标函”；</w:t>
      </w:r>
    </w:p>
    <w:p w14:paraId="310417E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（2）“投标人的资格及资信证明文件”</w:t>
      </w:r>
    </w:p>
    <w:p w14:paraId="4A43237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①一般资格证明文件：</w:t>
      </w:r>
    </w:p>
    <w:p w14:paraId="5FD7982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采购包1</w:t>
      </w:r>
      <w:r>
        <w:rPr>
          <w:rFonts w:ascii="宋体" w:hAnsi="宋体" w:eastAsia="宋体" w:cs="宋体"/>
          <w:sz w:val="24"/>
          <w:szCs w:val="24"/>
          <w:lang w:eastAsia="zh-CN"/>
        </w:rPr>
        <w:t>、</w:t>
      </w:r>
      <w:r>
        <w:rPr>
          <w:rFonts w:ascii="宋体" w:hAnsi="宋体" w:eastAsia="宋体" w:cs="宋体"/>
          <w:sz w:val="24"/>
          <w:szCs w:val="24"/>
        </w:rPr>
        <w:t>采购包</w:t>
      </w:r>
      <w:r>
        <w:rPr>
          <w:rFonts w:ascii="宋体" w:hAnsi="宋体" w:eastAsia="宋体" w:cs="宋体"/>
          <w:sz w:val="24"/>
          <w:szCs w:val="24"/>
          <w:lang w:eastAsia="zh-CN"/>
        </w:rPr>
        <w:t>2、</w:t>
      </w: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tbl>
      <w:tblPr>
        <w:tblStyle w:val="11"/>
        <w:tblW w:w="92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649"/>
        <w:gridCol w:w="6725"/>
      </w:tblGrid>
      <w:tr w14:paraId="247BC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735E4A4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649" w:type="dxa"/>
            <w:vAlign w:val="center"/>
          </w:tcPr>
          <w:p w14:paraId="045CB70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6725" w:type="dxa"/>
            <w:vAlign w:val="center"/>
          </w:tcPr>
          <w:p w14:paraId="55E0CE5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591B1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DEBC3A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649" w:type="dxa"/>
            <w:vAlign w:val="center"/>
          </w:tcPr>
          <w:p w14:paraId="32B426D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单位授权书</w:t>
            </w:r>
          </w:p>
        </w:tc>
        <w:tc>
          <w:tcPr>
            <w:tcW w:w="6725" w:type="dxa"/>
          </w:tcPr>
          <w:p w14:paraId="7FD4F7EC">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8FA58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420598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649" w:type="dxa"/>
            <w:vAlign w:val="center"/>
          </w:tcPr>
          <w:p w14:paraId="32C7991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营业执照等证明文件</w:t>
            </w:r>
          </w:p>
        </w:tc>
        <w:tc>
          <w:tcPr>
            <w:tcW w:w="6725" w:type="dxa"/>
          </w:tcPr>
          <w:p w14:paraId="6AB8AC4E">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3DCF54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D6E847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649" w:type="dxa"/>
            <w:vAlign w:val="center"/>
          </w:tcPr>
          <w:p w14:paraId="5748CC0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提供财务状况报告(财务报告、或资信证明）</w:t>
            </w:r>
          </w:p>
        </w:tc>
        <w:tc>
          <w:tcPr>
            <w:tcW w:w="6725" w:type="dxa"/>
          </w:tcPr>
          <w:p w14:paraId="22915D74">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3562A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444553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649" w:type="dxa"/>
            <w:vAlign w:val="center"/>
          </w:tcPr>
          <w:p w14:paraId="2F7E9B2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依法缴纳税收证明材料</w:t>
            </w:r>
          </w:p>
        </w:tc>
        <w:tc>
          <w:tcPr>
            <w:tcW w:w="6725" w:type="dxa"/>
          </w:tcPr>
          <w:p w14:paraId="0F24A1C2">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10343A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36B623A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649" w:type="dxa"/>
            <w:vAlign w:val="center"/>
          </w:tcPr>
          <w:p w14:paraId="4976366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依法缴纳社会保障资金证明材料</w:t>
            </w:r>
          </w:p>
        </w:tc>
        <w:tc>
          <w:tcPr>
            <w:tcW w:w="6725" w:type="dxa"/>
          </w:tcPr>
          <w:p w14:paraId="61629E30">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291E5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4560F50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649" w:type="dxa"/>
            <w:vAlign w:val="center"/>
          </w:tcPr>
          <w:p w14:paraId="63817B1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具备履行合同所必需设备和专业技术能力的声明函(若有)</w:t>
            </w:r>
          </w:p>
        </w:tc>
        <w:tc>
          <w:tcPr>
            <w:tcW w:w="6725" w:type="dxa"/>
          </w:tcPr>
          <w:p w14:paraId="297859CA">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05611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1A1EA9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649" w:type="dxa"/>
            <w:vAlign w:val="center"/>
          </w:tcPr>
          <w:p w14:paraId="4C79D03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参加采购活动前三年内在经营活动中没有重大违法记录的声明</w:t>
            </w:r>
          </w:p>
        </w:tc>
        <w:tc>
          <w:tcPr>
            <w:tcW w:w="6725" w:type="dxa"/>
          </w:tcPr>
          <w:p w14:paraId="704FA0A1">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05B85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F2CC1E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8</w:t>
            </w:r>
          </w:p>
        </w:tc>
        <w:tc>
          <w:tcPr>
            <w:tcW w:w="1649" w:type="dxa"/>
            <w:vAlign w:val="center"/>
          </w:tcPr>
          <w:p w14:paraId="29517FF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信用记录查询结果</w:t>
            </w:r>
          </w:p>
        </w:tc>
        <w:tc>
          <w:tcPr>
            <w:tcW w:w="6725" w:type="dxa"/>
          </w:tcPr>
          <w:p w14:paraId="0C8C4A26">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12FA4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6EA8EB5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9</w:t>
            </w:r>
          </w:p>
        </w:tc>
        <w:tc>
          <w:tcPr>
            <w:tcW w:w="1649" w:type="dxa"/>
            <w:vAlign w:val="center"/>
          </w:tcPr>
          <w:p w14:paraId="24811F4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中小企业声明函（以资格条件落实中小企业扶持政策时适用 ）</w:t>
            </w:r>
          </w:p>
        </w:tc>
        <w:tc>
          <w:tcPr>
            <w:tcW w:w="6725" w:type="dxa"/>
          </w:tcPr>
          <w:p w14:paraId="6EB3E3E6">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B3F55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Align w:val="center"/>
          </w:tcPr>
          <w:p w14:paraId="20DD844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10</w:t>
            </w:r>
          </w:p>
        </w:tc>
        <w:tc>
          <w:tcPr>
            <w:tcW w:w="1649" w:type="dxa"/>
            <w:vAlign w:val="center"/>
          </w:tcPr>
          <w:p w14:paraId="6C900C5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联合体协议（若有）</w:t>
            </w:r>
          </w:p>
        </w:tc>
        <w:tc>
          <w:tcPr>
            <w:tcW w:w="6725" w:type="dxa"/>
          </w:tcPr>
          <w:p w14:paraId="1607856A">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14:paraId="7C891DD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※备注说明</w:t>
      </w:r>
    </w:p>
    <w:p w14:paraId="3BFD5D6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①投标人应根据自身实际情况提供上述资格要求的证明材料，格式可参考招标文件第七章提供。</w:t>
      </w:r>
    </w:p>
    <w:p w14:paraId="09294B3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②投标人提供的相应证明材料复印件均应符合：内容完整、清晰、整洁，并由投标人加盖其单位公章。</w:t>
      </w:r>
    </w:p>
    <w:p w14:paraId="4F9A2F14">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③根据招标文件第四章第一点资格审查的1.3“④其他资格证明文件”要求，允许供应商采用资格承诺制的并提供符合要求的资格承诺函，视为满足招标文件的资格要求。</w:t>
      </w:r>
    </w:p>
    <w:p w14:paraId="55C5F22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④.其他资格证明文件：</w:t>
      </w:r>
    </w:p>
    <w:p w14:paraId="732DA158">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采购包1：</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3046B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542768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2F83F00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7EDB8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4268E0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78165036">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3B3EC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13A5F0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2932ACB2">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4D35C15D">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tbl>
      <w:tblPr>
        <w:tblStyle w:val="11"/>
        <w:tblW w:w="90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8"/>
        <w:gridCol w:w="7362"/>
      </w:tblGrid>
      <w:tr w14:paraId="01D47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498AA3C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62" w:type="dxa"/>
            <w:vAlign w:val="center"/>
          </w:tcPr>
          <w:p w14:paraId="3B018B4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4337A5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4F18EFB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62" w:type="dxa"/>
          </w:tcPr>
          <w:p w14:paraId="096F1DCC">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355393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0D9281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62" w:type="dxa"/>
          </w:tcPr>
          <w:p w14:paraId="1D71FC30">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r w14:paraId="5ACEC3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8" w:type="dxa"/>
            <w:vAlign w:val="center"/>
          </w:tcPr>
          <w:p w14:paraId="636AD22D">
            <w:pPr>
              <w:pStyle w:val="14"/>
              <w:spacing w:line="360" w:lineRule="auto"/>
              <w:jc w:val="center"/>
              <w:rPr>
                <w:rFonts w:hint="default" w:ascii="宋体" w:hAnsi="宋体" w:eastAsia="宋体" w:cs="宋体"/>
                <w:sz w:val="24"/>
                <w:szCs w:val="24"/>
                <w:highlight w:val="none"/>
              </w:rPr>
            </w:pPr>
            <w:r>
              <w:rPr>
                <w:rFonts w:ascii="宋体" w:hAnsi="宋体" w:eastAsia="宋体" w:cs="宋体"/>
                <w:sz w:val="24"/>
                <w:szCs w:val="24"/>
                <w:highlight w:val="none"/>
              </w:rPr>
              <w:t>本采购包属于专门面向中小企业采购</w:t>
            </w:r>
          </w:p>
        </w:tc>
        <w:tc>
          <w:tcPr>
            <w:tcW w:w="7362" w:type="dxa"/>
          </w:tcPr>
          <w:p w14:paraId="70C12747">
            <w:pPr>
              <w:pStyle w:val="14"/>
              <w:spacing w:line="360" w:lineRule="auto"/>
              <w:rPr>
                <w:rFonts w:hint="default" w:ascii="宋体" w:hAnsi="宋体" w:eastAsia="宋体" w:cs="宋体"/>
                <w:sz w:val="24"/>
                <w:szCs w:val="24"/>
                <w:highlight w:val="none"/>
              </w:rPr>
            </w:pPr>
            <w:r>
              <w:rPr>
                <w:rFonts w:ascii="宋体" w:hAnsi="宋体" w:eastAsia="宋体" w:cs="宋体"/>
                <w:sz w:val="24"/>
                <w:szCs w:val="24"/>
                <w:highlight w:val="none"/>
              </w:rPr>
              <w:t>①根据《政府采购促进中小企业发展管理办法》（财库〔2020〕46号）文件规定，本采购包专门面向中小企业采购（</w:t>
            </w:r>
            <w:r>
              <w:rPr>
                <w:rFonts w:ascii="宋体" w:hAnsi="宋体" w:eastAsia="宋体" w:cs="宋体"/>
                <w:sz w:val="24"/>
                <w:szCs w:val="24"/>
                <w:highlight w:val="none"/>
                <w:lang w:eastAsia="zh-CN"/>
              </w:rPr>
              <w:t>中</w:t>
            </w:r>
            <w:r>
              <w:rPr>
                <w:rFonts w:ascii="宋体" w:hAnsi="宋体" w:eastAsia="宋体" w:cs="宋体"/>
                <w:sz w:val="24"/>
                <w:szCs w:val="24"/>
                <w:highlight w:val="none"/>
              </w:rPr>
              <w:t>小微企业、监狱企业、残疾人福利性单位），投标人须按照招标文件的格式提供《中小企业声明函（货物类）》。②投标人为监狱企业的，可不提供《中小企业声明函》，根据其提供的由省级以上监狱管理局、戒毒管理局（含新疆生产建设兵团）出具的属于监狱企业的证明文件进行认定，监狱企业视同小型、微型企业。③投标人为残疾人福利性单位的，可不提供《中小企业声明函》，根据其提供的《残疾人福利性单位声明函》进行认定，残疾人福利性单位视同小型、微型企业。④本采购包为货物类采购，采购标的对应的中小企业划分标准所属行业为“工业”。</w:t>
            </w:r>
          </w:p>
        </w:tc>
      </w:tr>
    </w:tbl>
    <w:p w14:paraId="48BDC72C">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227C6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0BAF21A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52BDB2E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3D416E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329038B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7DF1DAA4">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15A46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482861C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0481F45E">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66EECC92">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23E7D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51BEDD6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3AF6632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02AB3E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6D41135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0DACBF4A">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0C87D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0F8D440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640697EA">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6CEB8C1D">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tbl>
      <w:tblPr>
        <w:tblStyle w:val="11"/>
        <w:tblW w:w="901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80"/>
        <w:gridCol w:w="7338"/>
      </w:tblGrid>
      <w:tr w14:paraId="1ABA78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tcPr>
          <w:p w14:paraId="0BFB624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资格审查要求概况</w:t>
            </w:r>
          </w:p>
        </w:tc>
        <w:tc>
          <w:tcPr>
            <w:tcW w:w="7338" w:type="dxa"/>
          </w:tcPr>
          <w:p w14:paraId="146CD0A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71E11F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70C936C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资格承诺函</w:t>
            </w:r>
          </w:p>
        </w:tc>
        <w:tc>
          <w:tcPr>
            <w:tcW w:w="7338" w:type="dxa"/>
          </w:tcPr>
          <w:p w14:paraId="16513EA1">
            <w:pPr>
              <w:pStyle w:val="14"/>
              <w:spacing w:line="360" w:lineRule="auto"/>
              <w:rPr>
                <w:rFonts w:hint="default" w:ascii="宋体" w:hAnsi="宋体" w:eastAsia="宋体" w:cs="宋体"/>
                <w:sz w:val="24"/>
                <w:szCs w:val="24"/>
              </w:rPr>
            </w:pPr>
            <w:r>
              <w:rPr>
                <w:rFonts w:ascii="宋体" w:hAnsi="宋体" w:eastAsia="宋体" w:cs="宋体"/>
                <w:sz w:val="24"/>
                <w:szCs w:val="24"/>
              </w:rPr>
              <w:t>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w:t>
            </w:r>
          </w:p>
        </w:tc>
      </w:tr>
      <w:tr w14:paraId="5A8EAC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80" w:type="dxa"/>
            <w:vAlign w:val="center"/>
          </w:tcPr>
          <w:p w14:paraId="00F33F7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补充说明</w:t>
            </w:r>
          </w:p>
        </w:tc>
        <w:tc>
          <w:tcPr>
            <w:tcW w:w="7338" w:type="dxa"/>
          </w:tcPr>
          <w:p w14:paraId="6BB42FB7">
            <w:pPr>
              <w:pStyle w:val="14"/>
              <w:spacing w:line="360" w:lineRule="auto"/>
              <w:rPr>
                <w:rFonts w:hint="default" w:ascii="宋体" w:hAnsi="宋体" w:eastAsia="宋体" w:cs="宋体"/>
                <w:sz w:val="24"/>
                <w:szCs w:val="24"/>
              </w:rPr>
            </w:pPr>
            <w:r>
              <w:rPr>
                <w:rFonts w:ascii="宋体" w:hAnsi="宋体" w:eastAsia="宋体" w:cs="宋体"/>
                <w:sz w:val="24"/>
                <w:szCs w:val="24"/>
              </w:rPr>
              <w:t>关于【一般资格证明文件中“3、提供财务状况报告(财务报告、或资信证明）”】的补充说明：针对“a.成立年限满1年及以上的投标人，提供经审计的上一年度的年度财务报告”，投标人提供2023年度或者2024年度经审计的财务报告均视为符合要求。本招标文件中若有与此处不一致的，以此处补充说明为准。</w:t>
            </w:r>
          </w:p>
        </w:tc>
      </w:tr>
    </w:tbl>
    <w:p w14:paraId="54096C5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（3）投标保证金。</w:t>
      </w:r>
    </w:p>
    <w:p w14:paraId="169F4A9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1.4有下列情形之一的，资格审查不合格：</w:t>
      </w:r>
    </w:p>
    <w:tbl>
      <w:tblPr>
        <w:tblStyle w:val="11"/>
        <w:tblW w:w="868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87"/>
      </w:tblGrid>
      <w:tr w14:paraId="4995B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764F01D5">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40182E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1D041E4F">
            <w:pPr>
              <w:pStyle w:val="14"/>
              <w:spacing w:line="360" w:lineRule="auto"/>
              <w:rPr>
                <w:rFonts w:hint="default" w:ascii="宋体" w:hAnsi="宋体" w:eastAsia="宋体" w:cs="宋体"/>
                <w:sz w:val="24"/>
                <w:szCs w:val="24"/>
              </w:rPr>
            </w:pPr>
            <w:r>
              <w:rPr>
                <w:rFonts w:ascii="宋体" w:hAnsi="宋体" w:eastAsia="宋体" w:cs="宋体"/>
                <w:sz w:val="24"/>
                <w:szCs w:val="24"/>
              </w:rPr>
              <w:t>未按照招标文件规定提交投标函</w:t>
            </w:r>
          </w:p>
        </w:tc>
      </w:tr>
      <w:tr w14:paraId="3A9035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493AC68D">
            <w:pPr>
              <w:pStyle w:val="14"/>
              <w:spacing w:line="360" w:lineRule="auto"/>
              <w:rPr>
                <w:rFonts w:hint="default" w:ascii="宋体" w:hAnsi="宋体" w:eastAsia="宋体" w:cs="宋体"/>
                <w:sz w:val="24"/>
                <w:szCs w:val="24"/>
              </w:rPr>
            </w:pPr>
            <w:r>
              <w:rPr>
                <w:rFonts w:ascii="宋体" w:hAnsi="宋体" w:eastAsia="宋体" w:cs="宋体"/>
                <w:sz w:val="24"/>
                <w:szCs w:val="24"/>
              </w:rPr>
              <w:t>未按照招标文件规定提交投标人的资格及资信文件</w:t>
            </w:r>
          </w:p>
        </w:tc>
      </w:tr>
      <w:tr w14:paraId="47965B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687" w:type="dxa"/>
          </w:tcPr>
          <w:p w14:paraId="433B7871">
            <w:pPr>
              <w:pStyle w:val="14"/>
              <w:spacing w:line="360" w:lineRule="auto"/>
              <w:rPr>
                <w:rFonts w:hint="default" w:ascii="宋体" w:hAnsi="宋体" w:eastAsia="宋体" w:cs="宋体"/>
                <w:sz w:val="24"/>
                <w:szCs w:val="24"/>
              </w:rPr>
            </w:pPr>
            <w:r>
              <w:rPr>
                <w:rFonts w:ascii="宋体" w:hAnsi="宋体" w:eastAsia="宋体" w:cs="宋体"/>
                <w:sz w:val="24"/>
                <w:szCs w:val="24"/>
              </w:rPr>
              <w:t>未按照招标文件规定提交投标保证金</w:t>
            </w:r>
          </w:p>
        </w:tc>
      </w:tr>
    </w:tbl>
    <w:p w14:paraId="1EE316A1">
      <w:pPr>
        <w:pStyle w:val="14"/>
        <w:spacing w:line="360" w:lineRule="auto"/>
        <w:rPr>
          <w:rFonts w:hint="default" w:ascii="宋体" w:hAnsi="宋体" w:eastAsia="宋体" w:cs="宋体"/>
          <w:sz w:val="24"/>
          <w:szCs w:val="24"/>
        </w:rPr>
      </w:pPr>
      <w:r>
        <w:rPr>
          <w:rFonts w:ascii="宋体" w:hAnsi="宋体" w:eastAsia="宋体" w:cs="宋体"/>
          <w:sz w:val="24"/>
          <w:szCs w:val="24"/>
        </w:rPr>
        <w:t>采购包1：</w:t>
      </w:r>
    </w:p>
    <w:p w14:paraId="61425B69">
      <w:pPr>
        <w:pStyle w:val="14"/>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11"/>
        <w:tblW w:w="866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55"/>
      </w:tblGrid>
      <w:tr w14:paraId="1B67B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2FE81040">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情形</w:t>
            </w:r>
          </w:p>
        </w:tc>
        <w:tc>
          <w:tcPr>
            <w:tcW w:w="7455" w:type="dxa"/>
          </w:tcPr>
          <w:p w14:paraId="442AF63D">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143C9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41E6A784">
            <w:pPr>
              <w:pStyle w:val="14"/>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7455" w:type="dxa"/>
          </w:tcPr>
          <w:p w14:paraId="0356A297">
            <w:pPr>
              <w:pStyle w:val="14"/>
              <w:spacing w:line="360" w:lineRule="auto"/>
              <w:rPr>
                <w:rFonts w:hint="default" w:ascii="宋体" w:hAnsi="宋体" w:eastAsia="宋体" w:cs="宋体"/>
                <w:sz w:val="24"/>
                <w:szCs w:val="24"/>
              </w:rPr>
            </w:pPr>
            <w:r>
              <w:rPr>
                <w:rFonts w:ascii="宋体" w:hAnsi="宋体" w:eastAsia="宋体" w:cs="宋体"/>
                <w:sz w:val="24"/>
                <w:szCs w:val="24"/>
              </w:rPr>
              <w:t>投标文件的资格及资信证明部分中出现报价部分的全部或部分的投标报价信息(或组成资料)的，按无效投标处理。</w:t>
            </w:r>
          </w:p>
        </w:tc>
      </w:tr>
    </w:tbl>
    <w:p w14:paraId="6A73EEAF">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p w14:paraId="1901A9FF">
      <w:pPr>
        <w:pStyle w:val="14"/>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11"/>
        <w:tblW w:w="8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28"/>
      </w:tblGrid>
      <w:tr w14:paraId="1D4E3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66931041">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情形</w:t>
            </w:r>
          </w:p>
        </w:tc>
        <w:tc>
          <w:tcPr>
            <w:tcW w:w="7428" w:type="dxa"/>
          </w:tcPr>
          <w:p w14:paraId="5E0A8093">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53102C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6BA05265">
            <w:pPr>
              <w:pStyle w:val="14"/>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7428" w:type="dxa"/>
          </w:tcPr>
          <w:p w14:paraId="570B2BE1">
            <w:pPr>
              <w:pStyle w:val="14"/>
              <w:spacing w:line="360" w:lineRule="auto"/>
              <w:rPr>
                <w:rFonts w:hint="default" w:ascii="宋体" w:hAnsi="宋体" w:eastAsia="宋体" w:cs="宋体"/>
                <w:sz w:val="24"/>
                <w:szCs w:val="24"/>
              </w:rPr>
            </w:pPr>
            <w:r>
              <w:rPr>
                <w:rFonts w:ascii="宋体" w:hAnsi="宋体" w:eastAsia="宋体" w:cs="宋体"/>
                <w:sz w:val="24"/>
                <w:szCs w:val="24"/>
              </w:rPr>
              <w:t>投标文件的资格及资信证明部分中出现报价部分的全部或部分的投标报价信息(或组成资料)的，按无效投标处理。</w:t>
            </w:r>
          </w:p>
        </w:tc>
      </w:tr>
    </w:tbl>
    <w:p w14:paraId="74D3E2CD">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p w14:paraId="2F9076CF">
      <w:pPr>
        <w:pStyle w:val="14"/>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11"/>
        <w:tblW w:w="8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28"/>
      </w:tblGrid>
      <w:tr w14:paraId="6128E1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52B2A0C0">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情形</w:t>
            </w:r>
          </w:p>
        </w:tc>
        <w:tc>
          <w:tcPr>
            <w:tcW w:w="7428" w:type="dxa"/>
          </w:tcPr>
          <w:p w14:paraId="216A2E4A">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1170FE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22F25C02">
            <w:pPr>
              <w:pStyle w:val="14"/>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7428" w:type="dxa"/>
          </w:tcPr>
          <w:p w14:paraId="590242EA">
            <w:pPr>
              <w:pStyle w:val="14"/>
              <w:spacing w:line="360" w:lineRule="auto"/>
              <w:rPr>
                <w:rFonts w:hint="default" w:ascii="宋体" w:hAnsi="宋体" w:eastAsia="宋体" w:cs="宋体"/>
                <w:sz w:val="24"/>
                <w:szCs w:val="24"/>
              </w:rPr>
            </w:pPr>
            <w:r>
              <w:rPr>
                <w:rFonts w:ascii="宋体" w:hAnsi="宋体" w:eastAsia="宋体" w:cs="宋体"/>
                <w:sz w:val="24"/>
                <w:szCs w:val="24"/>
              </w:rPr>
              <w:t>投标文件的资格及资信证明部分中出现报价部分的全部或部分的投标报价信息(或组成资料)的，按无效投标处理。</w:t>
            </w:r>
          </w:p>
        </w:tc>
      </w:tr>
    </w:tbl>
    <w:p w14:paraId="14D30A57">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p w14:paraId="63660187">
      <w:pPr>
        <w:pStyle w:val="14"/>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11"/>
        <w:tblW w:w="8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28"/>
      </w:tblGrid>
      <w:tr w14:paraId="09CD4B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205" w:type="dxa"/>
          </w:tcPr>
          <w:p w14:paraId="4CC2CAB5">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情形</w:t>
            </w:r>
          </w:p>
        </w:tc>
        <w:tc>
          <w:tcPr>
            <w:tcW w:w="7428" w:type="dxa"/>
          </w:tcPr>
          <w:p w14:paraId="0188D6E7">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12BCD2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0D2CB06F">
            <w:pPr>
              <w:pStyle w:val="14"/>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7428" w:type="dxa"/>
          </w:tcPr>
          <w:p w14:paraId="68241467">
            <w:pPr>
              <w:pStyle w:val="14"/>
              <w:spacing w:line="360" w:lineRule="auto"/>
              <w:rPr>
                <w:rFonts w:hint="default" w:ascii="宋体" w:hAnsi="宋体" w:eastAsia="宋体" w:cs="宋体"/>
                <w:sz w:val="24"/>
                <w:szCs w:val="24"/>
              </w:rPr>
            </w:pPr>
            <w:r>
              <w:rPr>
                <w:rFonts w:ascii="宋体" w:hAnsi="宋体" w:eastAsia="宋体" w:cs="宋体"/>
                <w:sz w:val="24"/>
                <w:szCs w:val="24"/>
              </w:rPr>
              <w:t>投标文件的资格及资信证明部分中出现报价部分的全部或部分的投标报价信息(或组成资料)的，按无效投标处理。</w:t>
            </w:r>
          </w:p>
        </w:tc>
      </w:tr>
    </w:tbl>
    <w:p w14:paraId="487EB57E">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p w14:paraId="1E7E29C2">
      <w:pPr>
        <w:pStyle w:val="14"/>
        <w:spacing w:line="360" w:lineRule="auto"/>
        <w:rPr>
          <w:rFonts w:hint="default" w:ascii="宋体" w:hAnsi="宋体" w:eastAsia="宋体" w:cs="宋体"/>
          <w:sz w:val="24"/>
          <w:szCs w:val="24"/>
        </w:rPr>
      </w:pPr>
      <w:r>
        <w:rPr>
          <w:rFonts w:ascii="宋体" w:hAnsi="宋体" w:eastAsia="宋体" w:cs="宋体"/>
          <w:sz w:val="24"/>
          <w:szCs w:val="24"/>
        </w:rPr>
        <w:t>资格审查不合格项：</w:t>
      </w:r>
    </w:p>
    <w:tbl>
      <w:tblPr>
        <w:tblStyle w:val="11"/>
        <w:tblW w:w="863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05"/>
        <w:gridCol w:w="7428"/>
      </w:tblGrid>
      <w:tr w14:paraId="60C74F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3F6D923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情形</w:t>
            </w:r>
          </w:p>
        </w:tc>
        <w:tc>
          <w:tcPr>
            <w:tcW w:w="7428" w:type="dxa"/>
          </w:tcPr>
          <w:p w14:paraId="1B4744C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明细</w:t>
            </w:r>
          </w:p>
        </w:tc>
      </w:tr>
      <w:tr w14:paraId="36910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05" w:type="dxa"/>
          </w:tcPr>
          <w:p w14:paraId="35F615CC">
            <w:pPr>
              <w:pStyle w:val="14"/>
              <w:spacing w:line="360" w:lineRule="auto"/>
              <w:rPr>
                <w:rFonts w:hint="default" w:ascii="宋体" w:hAnsi="宋体" w:eastAsia="宋体" w:cs="宋体"/>
                <w:sz w:val="24"/>
                <w:szCs w:val="24"/>
              </w:rPr>
            </w:pPr>
            <w:r>
              <w:rPr>
                <w:rFonts w:ascii="宋体" w:hAnsi="宋体" w:eastAsia="宋体" w:cs="宋体"/>
                <w:sz w:val="24"/>
                <w:szCs w:val="24"/>
              </w:rPr>
              <w:t>其他情形</w:t>
            </w:r>
          </w:p>
        </w:tc>
        <w:tc>
          <w:tcPr>
            <w:tcW w:w="7428" w:type="dxa"/>
          </w:tcPr>
          <w:p w14:paraId="458AAA69">
            <w:pPr>
              <w:pStyle w:val="14"/>
              <w:spacing w:line="360" w:lineRule="auto"/>
              <w:rPr>
                <w:rFonts w:hint="default" w:ascii="宋体" w:hAnsi="宋体" w:eastAsia="宋体" w:cs="宋体"/>
                <w:sz w:val="24"/>
                <w:szCs w:val="24"/>
              </w:rPr>
            </w:pPr>
            <w:r>
              <w:rPr>
                <w:rFonts w:ascii="宋体" w:hAnsi="宋体" w:eastAsia="宋体" w:cs="宋体"/>
                <w:sz w:val="24"/>
                <w:szCs w:val="24"/>
              </w:rPr>
              <w:t>投标文件的资格及资信证明部分中出现报价部分的全部或部分的投标报价信息(或组成资料)的，按无效投标处理。</w:t>
            </w:r>
          </w:p>
        </w:tc>
      </w:tr>
    </w:tbl>
    <w:p w14:paraId="3F10FAD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14:paraId="29A14A0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2、资格审查情况不得私自外泄，有关信息由 福建省中凯招标代理有限公司 统一对外发布。</w:t>
      </w:r>
    </w:p>
    <w:p w14:paraId="498424B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3、资格审查合格的投标人不足三家的，不进行评标。同时，本次采购活动结束， 福建省中凯招标代理有限公司 将依法组织后续采购活动（包括但不限于：重新招标、采用其他方式采购等）。</w:t>
      </w:r>
    </w:p>
    <w:p w14:paraId="036CEEA2">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二、评标</w:t>
      </w:r>
    </w:p>
    <w:p w14:paraId="5C75DD1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4、资格审查结束后，由 福建省中凯招标代理有限公司 负责评标委员会的组建及评标工作的组织。</w:t>
      </w:r>
    </w:p>
    <w:p w14:paraId="551B578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5、评标委员会</w:t>
      </w:r>
    </w:p>
    <w:p w14:paraId="6AF171F0">
      <w:pPr>
        <w:pStyle w:val="14"/>
        <w:spacing w:line="360" w:lineRule="auto"/>
        <w:ind w:firstLine="480"/>
        <w:jc w:val="both"/>
        <w:rPr>
          <w:rFonts w:hint="default" w:ascii="宋体" w:hAnsi="宋体" w:eastAsia="宋体" w:cs="宋体"/>
          <w:sz w:val="24"/>
          <w:szCs w:val="24"/>
          <w:highlight w:val="none"/>
        </w:rPr>
      </w:pPr>
      <w:r>
        <w:rPr>
          <w:rFonts w:ascii="宋体" w:hAnsi="宋体" w:eastAsia="宋体" w:cs="宋体"/>
          <w:sz w:val="24"/>
          <w:szCs w:val="24"/>
          <w:highlight w:val="none"/>
        </w:rPr>
        <w:t>由采购人代表和评审专家两部分共</w:t>
      </w:r>
      <w:r>
        <w:rPr>
          <w:rFonts w:ascii="宋体" w:hAnsi="宋体" w:eastAsia="宋体" w:cs="宋体"/>
          <w:sz w:val="24"/>
          <w:szCs w:val="24"/>
          <w:highlight w:val="none"/>
          <w:lang w:eastAsia="zh-CN"/>
        </w:rPr>
        <w:t>7</w:t>
      </w:r>
      <w:r>
        <w:rPr>
          <w:rFonts w:ascii="宋体" w:hAnsi="宋体" w:eastAsia="宋体" w:cs="宋体"/>
          <w:sz w:val="24"/>
          <w:szCs w:val="24"/>
          <w:highlight w:val="none"/>
        </w:rPr>
        <w:t>人组成，其中由福建省政府采购评审专家库产生的评审专家</w:t>
      </w:r>
      <w:r>
        <w:rPr>
          <w:rFonts w:ascii="宋体" w:hAnsi="宋体" w:eastAsia="宋体" w:cs="宋体"/>
          <w:sz w:val="24"/>
          <w:szCs w:val="24"/>
          <w:highlight w:val="none"/>
          <w:lang w:eastAsia="zh-CN"/>
        </w:rPr>
        <w:t>5</w:t>
      </w:r>
      <w:r>
        <w:rPr>
          <w:rFonts w:ascii="宋体" w:hAnsi="宋体" w:eastAsia="宋体" w:cs="宋体"/>
          <w:sz w:val="24"/>
          <w:szCs w:val="24"/>
          <w:highlight w:val="none"/>
        </w:rPr>
        <w:t>人，由采购人派出的采购人代表</w:t>
      </w:r>
      <w:r>
        <w:rPr>
          <w:rFonts w:ascii="宋体" w:hAnsi="宋体" w:eastAsia="宋体" w:cs="宋体"/>
          <w:sz w:val="24"/>
          <w:szCs w:val="24"/>
          <w:highlight w:val="none"/>
          <w:lang w:eastAsia="zh-CN"/>
        </w:rPr>
        <w:t>2</w:t>
      </w:r>
      <w:r>
        <w:rPr>
          <w:rFonts w:ascii="宋体" w:hAnsi="宋体" w:eastAsia="宋体" w:cs="宋体"/>
          <w:sz w:val="24"/>
          <w:szCs w:val="24"/>
          <w:highlight w:val="none"/>
        </w:rPr>
        <w:t>人。</w:t>
      </w:r>
    </w:p>
    <w:p w14:paraId="3A59507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5.2评标委员会负责具体评标事务，并按照下列原则依法独立履行有关职责：</w:t>
      </w:r>
    </w:p>
    <w:p w14:paraId="6C8BCAC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（1）评标应保护国家利益、社会公共利益和各方当事人合法权益，提高采购效益，保证项目质量。</w:t>
      </w:r>
    </w:p>
    <w:p w14:paraId="68FC435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（2）评标应遵循公平、公正、科学、严谨和择优原则。</w:t>
      </w:r>
    </w:p>
    <w:p w14:paraId="16A98DE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（3）评标的依据是招标文件和电子投标文件。</w:t>
      </w:r>
    </w:p>
    <w:p w14:paraId="2E4661F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（4）应按照招标文件规定推荐中标候选人或确定中标人。</w:t>
      </w:r>
    </w:p>
    <w:p w14:paraId="765DB3D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（5）评标应遵守下列评标纪律：</w:t>
      </w:r>
    </w:p>
    <w:p w14:paraId="061B533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①评标情况不得私自外泄，有关信息由 福建省中凯招标代理有限公司 统一对外发布。</w:t>
      </w:r>
    </w:p>
    <w:p w14:paraId="0DC62E8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②对 福建省中凯招标代理有限公司 或投标人提供的要求保密的资料，不得摘记翻印和外传。</w:t>
      </w:r>
    </w:p>
    <w:p w14:paraId="2447022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③不得收受投标人或有关人员的任何礼物，不得串联鼓动其他人袒护某投标人。若与投标人存在利害关系，则应主动声明并回避。</w:t>
      </w:r>
    </w:p>
    <w:p w14:paraId="5B9FB9F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④全体评委应按照招标文件规定进行评标，一切认定事项应查有实据且不得弄虚作假。</w:t>
      </w:r>
    </w:p>
    <w:p w14:paraId="57276FB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⑤评标中应充分发扬民主，推荐中标候选人或确定中标人后要服从评标报告。</w:t>
      </w:r>
    </w:p>
    <w:p w14:paraId="120BB14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※对违反评标纪律的评委，将取消其评委资格，对评标工作造成严重损失者将予以通报批评乃至追究法律责任。</w:t>
      </w:r>
    </w:p>
    <w:p w14:paraId="1571E41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6、评标程序</w:t>
      </w:r>
    </w:p>
    <w:p w14:paraId="61B2254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6.1评标前的准备工作</w:t>
      </w:r>
    </w:p>
    <w:p w14:paraId="61BF5F6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（1）全体评委应认真审阅招标文件，了解评委应履行或遵守的职责、义务和评标纪律。</w:t>
      </w:r>
    </w:p>
    <w:p w14:paraId="39A58BC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14:paraId="6C90789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6.2符合性审查</w:t>
      </w:r>
    </w:p>
    <w:p w14:paraId="6B989FF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（1）评标委员会依据招标文件的实质性要求，对通过资格审查的电子投标文件进行符合性审查，以确定其是否满足招标文件的实质性要求。</w:t>
      </w:r>
    </w:p>
    <w:p w14:paraId="5F019D4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（2）满足招标文件的实质性要求指电子投标文件对招标文件实质性要求的响应不存在重大偏差或保留。</w:t>
      </w:r>
    </w:p>
    <w:p w14:paraId="4B97E1B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1CACA77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6B5A4D68">
      <w:pPr>
        <w:pStyle w:val="14"/>
        <w:spacing w:line="360" w:lineRule="auto"/>
        <w:ind w:firstLine="240" w:firstLineChars="100"/>
        <w:jc w:val="both"/>
        <w:rPr>
          <w:rFonts w:hint="default" w:ascii="宋体" w:hAnsi="宋体" w:eastAsia="宋体" w:cs="宋体"/>
          <w:sz w:val="24"/>
          <w:szCs w:val="24"/>
        </w:rPr>
      </w:pPr>
      <w:r>
        <w:rPr>
          <w:rFonts w:ascii="宋体" w:hAnsi="宋体" w:eastAsia="宋体" w:cs="宋体"/>
          <w:sz w:val="24"/>
          <w:szCs w:val="24"/>
        </w:rPr>
        <w:t>（5）评标委员会对所有投标人都执行相同的程序和标准。</w:t>
      </w:r>
    </w:p>
    <w:p w14:paraId="3F61C5F3">
      <w:pPr>
        <w:pStyle w:val="14"/>
        <w:spacing w:line="360" w:lineRule="auto"/>
        <w:ind w:firstLine="240" w:firstLineChars="100"/>
        <w:jc w:val="both"/>
        <w:rPr>
          <w:rFonts w:hint="default" w:ascii="宋体" w:hAnsi="宋体" w:eastAsia="宋体" w:cs="宋体"/>
          <w:sz w:val="24"/>
          <w:szCs w:val="24"/>
        </w:rPr>
      </w:pPr>
      <w:r>
        <w:rPr>
          <w:rFonts w:ascii="宋体" w:hAnsi="宋体" w:eastAsia="宋体" w:cs="宋体"/>
          <w:sz w:val="24"/>
          <w:szCs w:val="24"/>
        </w:rPr>
        <w:t>（6）有下列情形之一的，符合性审查不合格：</w:t>
      </w:r>
    </w:p>
    <w:p w14:paraId="1B8E9FE8">
      <w:pPr>
        <w:pStyle w:val="14"/>
        <w:spacing w:line="360" w:lineRule="auto"/>
        <w:jc w:val="both"/>
        <w:rPr>
          <w:rFonts w:hint="default" w:ascii="宋体" w:hAnsi="宋体" w:eastAsia="宋体" w:cs="宋体"/>
          <w:sz w:val="24"/>
          <w:szCs w:val="24"/>
        </w:rPr>
      </w:pPr>
      <w:r>
        <w:rPr>
          <w:rFonts w:ascii="宋体" w:hAnsi="宋体" w:eastAsia="宋体" w:cs="宋体"/>
          <w:sz w:val="24"/>
          <w:szCs w:val="24"/>
        </w:rPr>
        <w:t>①项目一般情形：</w:t>
      </w:r>
    </w:p>
    <w:p w14:paraId="2EDEE467">
      <w:pPr>
        <w:pStyle w:val="14"/>
        <w:spacing w:line="360" w:lineRule="auto"/>
        <w:rPr>
          <w:rFonts w:hint="default" w:ascii="宋体" w:hAnsi="宋体" w:eastAsia="宋体" w:cs="宋体"/>
          <w:sz w:val="24"/>
          <w:szCs w:val="24"/>
        </w:rPr>
      </w:pPr>
      <w:r>
        <w:rPr>
          <w:rFonts w:ascii="宋体" w:hAnsi="宋体" w:eastAsia="宋体" w:cs="宋体"/>
          <w:sz w:val="24"/>
          <w:szCs w:val="24"/>
        </w:rPr>
        <w:t>采购包1：</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0B434B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062614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505" w:type="dxa"/>
            <w:vAlign w:val="center"/>
          </w:tcPr>
          <w:p w14:paraId="05F7597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587" w:type="dxa"/>
            <w:vAlign w:val="center"/>
          </w:tcPr>
          <w:p w14:paraId="79542DF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71A46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E617A9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505" w:type="dxa"/>
            <w:vAlign w:val="center"/>
          </w:tcPr>
          <w:p w14:paraId="7875D8D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6587" w:type="dxa"/>
            <w:vAlign w:val="center"/>
          </w:tcPr>
          <w:p w14:paraId="05CE771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0EC1B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140E576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505" w:type="dxa"/>
            <w:vAlign w:val="center"/>
          </w:tcPr>
          <w:p w14:paraId="24267F5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6587" w:type="dxa"/>
            <w:vAlign w:val="center"/>
          </w:tcPr>
          <w:p w14:paraId="42F2B94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1D6C3E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9307A0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505" w:type="dxa"/>
            <w:vAlign w:val="center"/>
          </w:tcPr>
          <w:p w14:paraId="69AE472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6587" w:type="dxa"/>
            <w:vAlign w:val="center"/>
          </w:tcPr>
          <w:p w14:paraId="35D6494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533FEDED">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5EFFC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A43DB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505" w:type="dxa"/>
            <w:vAlign w:val="center"/>
          </w:tcPr>
          <w:p w14:paraId="0E6FDA6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587" w:type="dxa"/>
            <w:vAlign w:val="center"/>
          </w:tcPr>
          <w:p w14:paraId="555DE44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36946E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002CD8D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505" w:type="dxa"/>
            <w:vAlign w:val="center"/>
          </w:tcPr>
          <w:p w14:paraId="38EF8DF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6587" w:type="dxa"/>
            <w:vAlign w:val="center"/>
          </w:tcPr>
          <w:p w14:paraId="65A4F77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6C71C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CA3075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505" w:type="dxa"/>
            <w:vAlign w:val="center"/>
          </w:tcPr>
          <w:p w14:paraId="71B2304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6587" w:type="dxa"/>
            <w:vAlign w:val="center"/>
          </w:tcPr>
          <w:p w14:paraId="17FF6A2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58FE21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DFCD67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505" w:type="dxa"/>
            <w:vAlign w:val="center"/>
          </w:tcPr>
          <w:p w14:paraId="2F2EFE3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6587" w:type="dxa"/>
            <w:vAlign w:val="center"/>
          </w:tcPr>
          <w:p w14:paraId="2FED3F4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1EA5258D">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20DFF8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06BC429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505" w:type="dxa"/>
            <w:vAlign w:val="center"/>
          </w:tcPr>
          <w:p w14:paraId="6F829FD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587" w:type="dxa"/>
            <w:vAlign w:val="center"/>
          </w:tcPr>
          <w:p w14:paraId="4492F55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129B1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B9C2F1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505" w:type="dxa"/>
            <w:vAlign w:val="center"/>
          </w:tcPr>
          <w:p w14:paraId="67B0FB0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6587" w:type="dxa"/>
            <w:vAlign w:val="center"/>
          </w:tcPr>
          <w:p w14:paraId="4D2EB8A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6AF766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73B72D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505" w:type="dxa"/>
            <w:vAlign w:val="center"/>
          </w:tcPr>
          <w:p w14:paraId="004A9A2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6587" w:type="dxa"/>
            <w:vAlign w:val="center"/>
          </w:tcPr>
          <w:p w14:paraId="1456E87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11B9CE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46B69DF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505" w:type="dxa"/>
            <w:vAlign w:val="center"/>
          </w:tcPr>
          <w:p w14:paraId="25291DB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6587" w:type="dxa"/>
            <w:vAlign w:val="center"/>
          </w:tcPr>
          <w:p w14:paraId="42779CD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547BD4E4">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35324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1E7D0E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505" w:type="dxa"/>
            <w:vAlign w:val="center"/>
          </w:tcPr>
          <w:p w14:paraId="396543D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587" w:type="dxa"/>
            <w:vAlign w:val="center"/>
          </w:tcPr>
          <w:p w14:paraId="3E9116E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482199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91119F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505" w:type="dxa"/>
            <w:vAlign w:val="center"/>
          </w:tcPr>
          <w:p w14:paraId="2308A86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6587" w:type="dxa"/>
            <w:vAlign w:val="center"/>
          </w:tcPr>
          <w:p w14:paraId="6D8F69A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3BF09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0F09528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505" w:type="dxa"/>
            <w:vAlign w:val="center"/>
          </w:tcPr>
          <w:p w14:paraId="1F4BAC1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6587" w:type="dxa"/>
            <w:vAlign w:val="center"/>
          </w:tcPr>
          <w:p w14:paraId="6CBEFB8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46DBAA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F1DE2A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505" w:type="dxa"/>
            <w:vAlign w:val="center"/>
          </w:tcPr>
          <w:p w14:paraId="68C63F4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6587" w:type="dxa"/>
            <w:vAlign w:val="center"/>
          </w:tcPr>
          <w:p w14:paraId="7C06473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36F564FF">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505"/>
        <w:gridCol w:w="6587"/>
      </w:tblGrid>
      <w:tr w14:paraId="65085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B3FF47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505" w:type="dxa"/>
            <w:vAlign w:val="center"/>
          </w:tcPr>
          <w:p w14:paraId="45F99EB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符合审查要求概况</w:t>
            </w:r>
          </w:p>
        </w:tc>
        <w:tc>
          <w:tcPr>
            <w:tcW w:w="6587" w:type="dxa"/>
            <w:vAlign w:val="center"/>
          </w:tcPr>
          <w:p w14:paraId="08E5B69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评审点具体描述</w:t>
            </w:r>
          </w:p>
        </w:tc>
      </w:tr>
      <w:tr w14:paraId="43DEE6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3ECC985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505" w:type="dxa"/>
            <w:vAlign w:val="center"/>
          </w:tcPr>
          <w:p w14:paraId="2E2C9C5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情形1</w:t>
            </w:r>
          </w:p>
        </w:tc>
        <w:tc>
          <w:tcPr>
            <w:tcW w:w="6587" w:type="dxa"/>
            <w:vAlign w:val="center"/>
          </w:tcPr>
          <w:p w14:paraId="79BE0B9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违反招标文件中载明“投标无效”条款的规定；</w:t>
            </w:r>
          </w:p>
        </w:tc>
      </w:tr>
      <w:tr w14:paraId="42DCF2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5B21F8A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505" w:type="dxa"/>
            <w:vAlign w:val="center"/>
          </w:tcPr>
          <w:p w14:paraId="2E9AFC9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情形2</w:t>
            </w:r>
          </w:p>
        </w:tc>
        <w:tc>
          <w:tcPr>
            <w:tcW w:w="6587" w:type="dxa"/>
            <w:vAlign w:val="center"/>
          </w:tcPr>
          <w:p w14:paraId="66E6119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属于招标文件第三章第10.12条规定的投标无效情形；</w:t>
            </w:r>
          </w:p>
        </w:tc>
      </w:tr>
      <w:tr w14:paraId="4B329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vAlign w:val="center"/>
          </w:tcPr>
          <w:p w14:paraId="2FD0535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505" w:type="dxa"/>
            <w:vAlign w:val="center"/>
          </w:tcPr>
          <w:p w14:paraId="2444D02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情形3</w:t>
            </w:r>
          </w:p>
        </w:tc>
        <w:tc>
          <w:tcPr>
            <w:tcW w:w="6587" w:type="dxa"/>
            <w:vAlign w:val="center"/>
          </w:tcPr>
          <w:p w14:paraId="0D7C752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投标文件对招标文件实质性要求的响应存在重大偏离或保留。</w:t>
            </w:r>
          </w:p>
        </w:tc>
      </w:tr>
    </w:tbl>
    <w:p w14:paraId="4AD2F4DE">
      <w:pPr>
        <w:pStyle w:val="14"/>
        <w:spacing w:line="360" w:lineRule="auto"/>
        <w:jc w:val="both"/>
        <w:rPr>
          <w:rFonts w:hint="default" w:ascii="宋体" w:hAnsi="宋体" w:eastAsia="宋体" w:cs="宋体"/>
          <w:sz w:val="24"/>
          <w:szCs w:val="24"/>
        </w:rPr>
      </w:pPr>
    </w:p>
    <w:p w14:paraId="33C658E4">
      <w:pPr>
        <w:pStyle w:val="14"/>
        <w:spacing w:line="360" w:lineRule="auto"/>
        <w:jc w:val="both"/>
        <w:rPr>
          <w:rFonts w:hint="default" w:ascii="宋体" w:hAnsi="宋体" w:eastAsia="宋体" w:cs="宋体"/>
          <w:sz w:val="24"/>
          <w:szCs w:val="24"/>
        </w:rPr>
      </w:pPr>
      <w:r>
        <w:rPr>
          <w:rFonts w:ascii="宋体" w:hAnsi="宋体" w:eastAsia="宋体" w:cs="宋体"/>
          <w:sz w:val="24"/>
          <w:szCs w:val="24"/>
        </w:rPr>
        <w:t>②本项目规定的其他情形：</w:t>
      </w:r>
    </w:p>
    <w:p w14:paraId="55E880D8">
      <w:pPr>
        <w:pStyle w:val="14"/>
        <w:spacing w:line="360" w:lineRule="auto"/>
        <w:rPr>
          <w:rFonts w:hint="default" w:ascii="宋体" w:hAnsi="宋体" w:eastAsia="宋体" w:cs="宋体"/>
          <w:sz w:val="24"/>
          <w:szCs w:val="24"/>
        </w:rPr>
      </w:pPr>
      <w:r>
        <w:rPr>
          <w:rFonts w:ascii="宋体" w:hAnsi="宋体" w:eastAsia="宋体" w:cs="宋体"/>
          <w:sz w:val="24"/>
          <w:szCs w:val="24"/>
        </w:rPr>
        <w:t>采购包1：</w:t>
      </w:r>
    </w:p>
    <w:p w14:paraId="04E5F2B6">
      <w:pPr>
        <w:pStyle w:val="14"/>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6BBDAD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1FD325E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2B66BD5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488EC8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37F4A93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02003C25">
            <w:pPr>
              <w:pStyle w:val="14"/>
              <w:spacing w:line="360" w:lineRule="auto"/>
              <w:rPr>
                <w:rFonts w:hint="default" w:ascii="宋体" w:hAnsi="宋体" w:eastAsia="宋体" w:cs="宋体"/>
                <w:sz w:val="24"/>
                <w:szCs w:val="24"/>
              </w:rPr>
            </w:pPr>
            <w:r>
              <w:rPr>
                <w:rFonts w:hint="default" w:ascii="宋体" w:hAnsi="宋体" w:eastAsia="宋体" w:cs="宋体"/>
                <w:sz w:val="24"/>
                <w:szCs w:val="24"/>
              </w:rPr>
              <w:t>1、</w:t>
            </w:r>
            <w:r>
              <w:rPr>
                <w:rFonts w:ascii="宋体" w:hAnsi="宋体" w:eastAsia="宋体" w:cs="宋体"/>
                <w:sz w:val="24"/>
                <w:szCs w:val="24"/>
              </w:rPr>
              <w:t>投标文件的技术商务部分中出现报价部分的全部或部分的投标报价信息(或组成资料)的，按无效投标处理；</w:t>
            </w:r>
          </w:p>
          <w:p w14:paraId="5A04487D">
            <w:pPr>
              <w:pStyle w:val="14"/>
              <w:spacing w:line="360" w:lineRule="auto"/>
              <w:rPr>
                <w:rFonts w:hint="default" w:ascii="宋体" w:hAnsi="宋体" w:eastAsia="宋体" w:cs="宋体"/>
                <w:sz w:val="24"/>
                <w:szCs w:val="24"/>
              </w:rPr>
            </w:pPr>
            <w:r>
              <w:rPr>
                <w:rFonts w:ascii="宋体" w:hAnsi="宋体" w:eastAsia="宋体" w:cs="宋体"/>
                <w:sz w:val="24"/>
                <w:szCs w:val="24"/>
              </w:rPr>
              <w:t>2、招标文件第五章以“★”标示的技术和服务要求的参数为不允许负偏离的实质性要求，有未响应或负偏离的，按无效投标处理。</w:t>
            </w:r>
          </w:p>
        </w:tc>
      </w:tr>
    </w:tbl>
    <w:p w14:paraId="17DF9ECF">
      <w:pPr>
        <w:pStyle w:val="14"/>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7B5CD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76A3CFF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68150AA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0265EA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78900B3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40522121">
            <w:pPr>
              <w:pStyle w:val="14"/>
              <w:spacing w:line="360" w:lineRule="auto"/>
              <w:rPr>
                <w:rFonts w:hint="default" w:ascii="宋体" w:hAnsi="宋体" w:eastAsia="宋体" w:cs="宋体"/>
                <w:sz w:val="24"/>
                <w:szCs w:val="24"/>
              </w:rPr>
            </w:pPr>
            <w:r>
              <w:rPr>
                <w:rFonts w:hint="default" w:ascii="宋体" w:hAnsi="宋体" w:eastAsia="宋体" w:cs="宋体"/>
                <w:sz w:val="24"/>
                <w:szCs w:val="24"/>
              </w:rPr>
              <w:t>1、</w:t>
            </w:r>
            <w:r>
              <w:rPr>
                <w:rFonts w:ascii="宋体" w:hAnsi="宋体" w:eastAsia="宋体" w:cs="宋体"/>
                <w:sz w:val="24"/>
                <w:szCs w:val="24"/>
              </w:rPr>
              <w:t>投标文件的技术商务部分中出现报价部分的全部或部分的投标报价信息(或组成资料)的，按无效投标处理；</w:t>
            </w:r>
          </w:p>
          <w:p w14:paraId="6D78068F">
            <w:pPr>
              <w:pStyle w:val="14"/>
              <w:spacing w:line="360" w:lineRule="auto"/>
              <w:rPr>
                <w:rFonts w:hint="default" w:ascii="宋体" w:hAnsi="宋体" w:eastAsia="宋体" w:cs="宋体"/>
                <w:sz w:val="24"/>
                <w:szCs w:val="24"/>
              </w:rPr>
            </w:pPr>
            <w:r>
              <w:rPr>
                <w:rFonts w:ascii="宋体" w:hAnsi="宋体" w:eastAsia="宋体" w:cs="宋体"/>
                <w:sz w:val="24"/>
                <w:szCs w:val="24"/>
              </w:rPr>
              <w:t>2、对招标文件第五章“三、商务条件”中的内容有负偏离或未响应的，按无效投标处理。</w:t>
            </w:r>
          </w:p>
        </w:tc>
      </w:tr>
    </w:tbl>
    <w:p w14:paraId="1357948D">
      <w:pPr>
        <w:pStyle w:val="14"/>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3F269A43">
      <w:pPr>
        <w:pStyle w:val="14"/>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6C0EE608">
      <w:pPr>
        <w:pStyle w:val="14"/>
        <w:spacing w:line="360" w:lineRule="auto"/>
        <w:rPr>
          <w:rFonts w:hint="default" w:ascii="宋体" w:hAnsi="宋体" w:eastAsia="宋体" w:cs="宋体"/>
          <w:sz w:val="24"/>
          <w:szCs w:val="24"/>
        </w:rPr>
      </w:pPr>
      <w:r>
        <w:rPr>
          <w:rFonts w:ascii="宋体" w:hAnsi="宋体" w:eastAsia="宋体" w:cs="宋体"/>
          <w:sz w:val="24"/>
          <w:szCs w:val="24"/>
        </w:rPr>
        <w:t>采购包2：</w:t>
      </w:r>
    </w:p>
    <w:p w14:paraId="6AEEDA14">
      <w:pPr>
        <w:pStyle w:val="14"/>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204CB7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102CE48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1AEF819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7EF2E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343EEB0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0079938C">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61B280F3">
            <w:pPr>
              <w:pStyle w:val="14"/>
              <w:spacing w:line="360" w:lineRule="auto"/>
              <w:rPr>
                <w:rFonts w:hint="default" w:ascii="宋体" w:hAnsi="宋体" w:eastAsia="宋体" w:cs="宋体"/>
                <w:sz w:val="24"/>
                <w:szCs w:val="24"/>
              </w:rPr>
            </w:pPr>
            <w:r>
              <w:rPr>
                <w:rFonts w:ascii="宋体" w:hAnsi="宋体" w:eastAsia="宋体" w:cs="宋体"/>
                <w:sz w:val="24"/>
                <w:szCs w:val="24"/>
              </w:rPr>
              <w:t>2、招标文件第五章以“★”标示的技术和服务要求的参数为不允许负偏离的实质性要求，有未响应或负偏离的，按无效投标处理。</w:t>
            </w:r>
          </w:p>
        </w:tc>
      </w:tr>
    </w:tbl>
    <w:p w14:paraId="230F02B6">
      <w:pPr>
        <w:pStyle w:val="14"/>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7CADFB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4C7F46F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080F541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7E9455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022C7B8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6401EC61">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0E8F46A9">
            <w:pPr>
              <w:pStyle w:val="14"/>
              <w:spacing w:line="360" w:lineRule="auto"/>
              <w:rPr>
                <w:rFonts w:hint="default" w:ascii="宋体" w:hAnsi="宋体" w:eastAsia="宋体" w:cs="宋体"/>
                <w:sz w:val="24"/>
                <w:szCs w:val="24"/>
              </w:rPr>
            </w:pPr>
            <w:r>
              <w:rPr>
                <w:rFonts w:ascii="宋体" w:hAnsi="宋体" w:eastAsia="宋体" w:cs="宋体"/>
                <w:sz w:val="24"/>
                <w:szCs w:val="24"/>
              </w:rPr>
              <w:t>2、对招标文件第五章“三、商务条件”中的内容有负偏离或未响应的，按无效投标处理。</w:t>
            </w:r>
          </w:p>
        </w:tc>
      </w:tr>
    </w:tbl>
    <w:p w14:paraId="39878FF7">
      <w:pPr>
        <w:pStyle w:val="14"/>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2BE9B557">
      <w:pPr>
        <w:pStyle w:val="14"/>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41595915">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p w14:paraId="602CC408">
      <w:pPr>
        <w:pStyle w:val="14"/>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674C5E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53A6CA9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7D079AD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518FC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41D4160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0CCA3B2D">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21F379B2">
            <w:pPr>
              <w:pStyle w:val="14"/>
              <w:spacing w:line="360" w:lineRule="auto"/>
              <w:rPr>
                <w:rFonts w:hint="default" w:ascii="宋体" w:hAnsi="宋体" w:eastAsia="宋体" w:cs="宋体"/>
                <w:sz w:val="24"/>
                <w:szCs w:val="24"/>
              </w:rPr>
            </w:pPr>
            <w:r>
              <w:rPr>
                <w:rFonts w:ascii="宋体" w:hAnsi="宋体" w:eastAsia="宋体" w:cs="宋体"/>
                <w:sz w:val="24"/>
                <w:szCs w:val="24"/>
              </w:rPr>
              <w:t>2、招标文件第五章以“★”标示的技术和服务要求的参数为不允许负偏离的实质性要求，有未响应或负偏离的，按无效投标处理。</w:t>
            </w:r>
          </w:p>
        </w:tc>
      </w:tr>
    </w:tbl>
    <w:p w14:paraId="15842D92">
      <w:pPr>
        <w:pStyle w:val="14"/>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0D6E62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5B9B7F5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5C77134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6D999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14D2A83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2BBA81DA">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6A0EC036">
            <w:pPr>
              <w:pStyle w:val="14"/>
              <w:spacing w:line="360" w:lineRule="auto"/>
              <w:rPr>
                <w:rFonts w:hint="default" w:ascii="宋体" w:hAnsi="宋体" w:eastAsia="宋体" w:cs="宋体"/>
                <w:sz w:val="24"/>
                <w:szCs w:val="24"/>
              </w:rPr>
            </w:pPr>
            <w:r>
              <w:rPr>
                <w:rFonts w:ascii="宋体" w:hAnsi="宋体" w:eastAsia="宋体" w:cs="宋体"/>
                <w:sz w:val="24"/>
                <w:szCs w:val="24"/>
              </w:rPr>
              <w:t>2、对招标文件第五章“三、商务条件”中的内容有负偏离或未响应的，按无效投标处理。</w:t>
            </w:r>
          </w:p>
        </w:tc>
      </w:tr>
    </w:tbl>
    <w:p w14:paraId="13065BB5">
      <w:pPr>
        <w:pStyle w:val="14"/>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1252555B">
      <w:pPr>
        <w:pStyle w:val="14"/>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51961BF4">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p w14:paraId="67558BA0">
      <w:pPr>
        <w:pStyle w:val="14"/>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4133E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6AE49A6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6C1A45D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6A88E7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045D608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1765D70C">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36A82385">
            <w:pPr>
              <w:pStyle w:val="14"/>
              <w:spacing w:line="360" w:lineRule="auto"/>
              <w:rPr>
                <w:rFonts w:hint="default" w:ascii="宋体" w:hAnsi="宋体" w:eastAsia="宋体" w:cs="宋体"/>
                <w:sz w:val="24"/>
                <w:szCs w:val="24"/>
              </w:rPr>
            </w:pPr>
            <w:r>
              <w:rPr>
                <w:rFonts w:ascii="宋体" w:hAnsi="宋体" w:eastAsia="宋体" w:cs="宋体"/>
                <w:sz w:val="24"/>
                <w:szCs w:val="24"/>
              </w:rPr>
              <w:t>2、招标文件第五章以“★”标示的技术和服务要求的参数为不允许负偏离的实质性要求，有未响应或负偏离的，按无效投标处理。</w:t>
            </w:r>
          </w:p>
        </w:tc>
      </w:tr>
    </w:tbl>
    <w:p w14:paraId="0BCEC1BD">
      <w:pPr>
        <w:pStyle w:val="14"/>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3AB704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5B68860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4F05445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30D5D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2E69825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2F07C326">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23327505">
            <w:pPr>
              <w:pStyle w:val="14"/>
              <w:spacing w:line="360" w:lineRule="auto"/>
              <w:rPr>
                <w:rFonts w:hint="default" w:ascii="宋体" w:hAnsi="宋体" w:eastAsia="宋体" w:cs="宋体"/>
                <w:sz w:val="24"/>
                <w:szCs w:val="24"/>
              </w:rPr>
            </w:pPr>
            <w:r>
              <w:rPr>
                <w:rFonts w:ascii="宋体" w:hAnsi="宋体" w:eastAsia="宋体" w:cs="宋体"/>
                <w:sz w:val="24"/>
                <w:szCs w:val="24"/>
              </w:rPr>
              <w:t>2、对招标文件第五章“三、商务条件”中的内容有负偏离或未响应的，按无效投标处理。</w:t>
            </w:r>
          </w:p>
        </w:tc>
      </w:tr>
    </w:tbl>
    <w:p w14:paraId="3E81C1EF">
      <w:pPr>
        <w:pStyle w:val="14"/>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0904AB31">
      <w:pPr>
        <w:pStyle w:val="14"/>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1C171154">
      <w:pPr>
        <w:pStyle w:val="14"/>
        <w:spacing w:line="360" w:lineRule="auto"/>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p w14:paraId="39CC5186">
      <w:pPr>
        <w:pStyle w:val="14"/>
        <w:spacing w:line="360" w:lineRule="auto"/>
        <w:rPr>
          <w:rFonts w:hint="default" w:ascii="宋体" w:hAnsi="宋体" w:eastAsia="宋体" w:cs="宋体"/>
          <w:sz w:val="24"/>
          <w:szCs w:val="24"/>
        </w:rPr>
      </w:pPr>
      <w:r>
        <w:rPr>
          <w:rFonts w:ascii="宋体" w:hAnsi="宋体" w:eastAsia="宋体" w:cs="宋体"/>
          <w:sz w:val="24"/>
          <w:szCs w:val="24"/>
        </w:rPr>
        <w:t>技术符合性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136932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2785E12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36656D8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437A1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661C4C9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29477D7C">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5B33FE4C">
            <w:pPr>
              <w:pStyle w:val="14"/>
              <w:spacing w:line="360" w:lineRule="auto"/>
              <w:rPr>
                <w:rFonts w:hint="default" w:ascii="宋体" w:hAnsi="宋体" w:eastAsia="宋体" w:cs="宋体"/>
                <w:sz w:val="24"/>
                <w:szCs w:val="24"/>
              </w:rPr>
            </w:pPr>
            <w:r>
              <w:rPr>
                <w:rFonts w:ascii="宋体" w:hAnsi="宋体" w:eastAsia="宋体" w:cs="宋体"/>
                <w:sz w:val="24"/>
                <w:szCs w:val="24"/>
              </w:rPr>
              <w:t>2、招标文件第五章以“★”标示的技术和服务要求的参数为不允许负偏离的实质性要求，有未响应或负偏离的，按无效投标处理。</w:t>
            </w:r>
          </w:p>
        </w:tc>
      </w:tr>
    </w:tbl>
    <w:p w14:paraId="65E9060B">
      <w:pPr>
        <w:pStyle w:val="14"/>
        <w:spacing w:line="360" w:lineRule="auto"/>
        <w:rPr>
          <w:rFonts w:hint="default" w:ascii="宋体" w:hAnsi="宋体" w:eastAsia="宋体" w:cs="宋体"/>
          <w:sz w:val="24"/>
          <w:szCs w:val="24"/>
        </w:rPr>
      </w:pPr>
      <w:r>
        <w:rPr>
          <w:rFonts w:ascii="宋体" w:hAnsi="宋体" w:eastAsia="宋体" w:cs="宋体"/>
          <w:sz w:val="24"/>
          <w:szCs w:val="24"/>
        </w:rPr>
        <w:t>商务符合性</w:t>
      </w:r>
    </w:p>
    <w:tbl>
      <w:tblPr>
        <w:tblStyle w:val="11"/>
        <w:tblW w:w="913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68"/>
        <w:gridCol w:w="7362"/>
      </w:tblGrid>
      <w:tr w14:paraId="5A4C7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14BE38A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情形</w:t>
            </w:r>
          </w:p>
        </w:tc>
        <w:tc>
          <w:tcPr>
            <w:tcW w:w="7362" w:type="dxa"/>
            <w:vAlign w:val="center"/>
          </w:tcPr>
          <w:p w14:paraId="20F7F14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明细</w:t>
            </w:r>
          </w:p>
        </w:tc>
      </w:tr>
      <w:tr w14:paraId="3FBF0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68" w:type="dxa"/>
            <w:vAlign w:val="center"/>
          </w:tcPr>
          <w:p w14:paraId="0E45508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其他情形</w:t>
            </w:r>
          </w:p>
        </w:tc>
        <w:tc>
          <w:tcPr>
            <w:tcW w:w="7362" w:type="dxa"/>
            <w:vAlign w:val="center"/>
          </w:tcPr>
          <w:p w14:paraId="60C87120">
            <w:pPr>
              <w:pStyle w:val="14"/>
              <w:spacing w:line="360" w:lineRule="auto"/>
              <w:rPr>
                <w:rFonts w:hint="default"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rPr>
              <w:t>、</w:t>
            </w:r>
            <w:r>
              <w:rPr>
                <w:rFonts w:ascii="宋体" w:hAnsi="宋体" w:eastAsia="宋体" w:cs="宋体"/>
                <w:sz w:val="24"/>
                <w:szCs w:val="24"/>
              </w:rPr>
              <w:t>投标文件的技术商务部分中出现报价部分的全部或部分的投标报价信息(或组成资料)的，按无效投标处理；</w:t>
            </w:r>
          </w:p>
          <w:p w14:paraId="658D079F">
            <w:pPr>
              <w:pStyle w:val="14"/>
              <w:spacing w:line="360" w:lineRule="auto"/>
              <w:rPr>
                <w:rFonts w:hint="default" w:ascii="宋体" w:hAnsi="宋体" w:eastAsia="宋体" w:cs="宋体"/>
                <w:sz w:val="24"/>
                <w:szCs w:val="24"/>
              </w:rPr>
            </w:pPr>
            <w:r>
              <w:rPr>
                <w:rFonts w:ascii="宋体" w:hAnsi="宋体" w:eastAsia="宋体" w:cs="宋体"/>
                <w:sz w:val="24"/>
                <w:szCs w:val="24"/>
              </w:rPr>
              <w:t>2、对招标文件第五章“三、商务条件”中的内容有负偏离或未响应的，按无效投标处理。</w:t>
            </w:r>
          </w:p>
        </w:tc>
      </w:tr>
    </w:tbl>
    <w:p w14:paraId="0B939BA9">
      <w:pPr>
        <w:pStyle w:val="14"/>
        <w:spacing w:line="360" w:lineRule="auto"/>
        <w:rPr>
          <w:rFonts w:hint="default" w:ascii="宋体" w:hAnsi="宋体" w:eastAsia="宋体" w:cs="宋体"/>
          <w:sz w:val="24"/>
          <w:szCs w:val="24"/>
        </w:rPr>
      </w:pPr>
      <w:r>
        <w:rPr>
          <w:rFonts w:ascii="宋体" w:hAnsi="宋体" w:eastAsia="宋体" w:cs="宋体"/>
          <w:sz w:val="24"/>
          <w:szCs w:val="24"/>
        </w:rPr>
        <w:t>附加符合性：无</w:t>
      </w:r>
    </w:p>
    <w:p w14:paraId="5945B582">
      <w:pPr>
        <w:pStyle w:val="14"/>
        <w:spacing w:line="360" w:lineRule="auto"/>
        <w:rPr>
          <w:rFonts w:hint="default" w:ascii="宋体" w:hAnsi="宋体" w:eastAsia="宋体" w:cs="宋体"/>
          <w:sz w:val="24"/>
          <w:szCs w:val="24"/>
        </w:rPr>
      </w:pPr>
      <w:r>
        <w:rPr>
          <w:rFonts w:ascii="宋体" w:hAnsi="宋体" w:eastAsia="宋体" w:cs="宋体"/>
          <w:sz w:val="24"/>
          <w:szCs w:val="24"/>
        </w:rPr>
        <w:t>价格符合性：无</w:t>
      </w:r>
    </w:p>
    <w:p w14:paraId="104039A6">
      <w:pPr>
        <w:pStyle w:val="14"/>
        <w:spacing w:line="360" w:lineRule="auto"/>
        <w:rPr>
          <w:rFonts w:hint="default" w:ascii="宋体" w:hAnsi="宋体" w:eastAsia="宋体" w:cs="宋体"/>
          <w:sz w:val="24"/>
          <w:szCs w:val="24"/>
        </w:rPr>
      </w:pPr>
    </w:p>
    <w:p w14:paraId="4E380F9B">
      <w:pPr>
        <w:pStyle w:val="14"/>
        <w:spacing w:line="360" w:lineRule="auto"/>
        <w:rPr>
          <w:rFonts w:hint="default" w:ascii="宋体" w:hAnsi="宋体" w:eastAsia="宋体" w:cs="宋体"/>
          <w:sz w:val="24"/>
          <w:szCs w:val="24"/>
        </w:rPr>
      </w:pPr>
    </w:p>
    <w:p w14:paraId="345D2EA7">
      <w:pPr>
        <w:pStyle w:val="14"/>
        <w:spacing w:line="360" w:lineRule="auto"/>
        <w:rPr>
          <w:rFonts w:hint="default" w:ascii="宋体" w:hAnsi="宋体" w:eastAsia="宋体" w:cs="宋体"/>
          <w:sz w:val="24"/>
          <w:szCs w:val="24"/>
        </w:rPr>
      </w:pPr>
    </w:p>
    <w:p w14:paraId="2E1FD1CB">
      <w:pPr>
        <w:pStyle w:val="14"/>
        <w:spacing w:line="360" w:lineRule="auto"/>
        <w:rPr>
          <w:rFonts w:hint="default" w:ascii="宋体" w:hAnsi="宋体" w:eastAsia="宋体" w:cs="宋体"/>
          <w:sz w:val="24"/>
          <w:szCs w:val="24"/>
        </w:rPr>
      </w:pPr>
      <w:r>
        <w:rPr>
          <w:rFonts w:ascii="宋体" w:hAnsi="宋体" w:eastAsia="宋体" w:cs="宋体"/>
          <w:sz w:val="24"/>
          <w:szCs w:val="24"/>
        </w:rPr>
        <w:t>6.3澄清有关问题</w:t>
      </w:r>
    </w:p>
    <w:p w14:paraId="2387A16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（1）对通过符合性审查的电子投标文件中含义不明确、同类问题表述不一致或有明显文字和计算错误的内容，评标委员会将以书面形式要求投标人作出必要的澄清、说明或补正。</w:t>
      </w:r>
    </w:p>
    <w:p w14:paraId="1B532F8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6924AB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（3）电子投标文件报价出现前后不一致的，除招标文件另有规定外，按照下列规定修正：</w:t>
      </w:r>
    </w:p>
    <w:p w14:paraId="73EF8E5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①开标（报价）一览表内容与电子投标文件中相应内容不一致的，以开标（报价）一览表为准；</w:t>
      </w:r>
    </w:p>
    <w:p w14:paraId="32D222F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②大写金额和小写金额不一致的，以大写金额为准；</w:t>
      </w:r>
    </w:p>
    <w:p w14:paraId="4579EBA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③单价金额小数点或百分比有明显错位的，以开标（报价）一览表的总价为准，并修改单价；</w:t>
      </w:r>
    </w:p>
    <w:p w14:paraId="28EDC3A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④总价金额与按照单价汇总金额不一致的，以单价金额计算结果为准。</w:t>
      </w:r>
    </w:p>
    <w:p w14:paraId="78C4E4F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※同时出现两种以上不一致的，按照前款规定的顺序修正。修正后的报价应按照本章第6.3条第（1）、（2）款规定经投标人确认后产生约束力，投标人不确认的，其投标无效。</w:t>
      </w:r>
    </w:p>
    <w:p w14:paraId="7432BED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（4）关于细微偏差</w:t>
      </w:r>
    </w:p>
    <w:p w14:paraId="451E15B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B6ED02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②评标委员会将以书面形式要求存在细微偏差的投标人在评标委员会规定的时间内予以补正。若无法补正，则评标委员会将按照不利于投标人的内容进行认定。</w:t>
      </w:r>
    </w:p>
    <w:p w14:paraId="0E0AF24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（5）关于投标描述（即电子投标文件中描述的内容）</w:t>
      </w:r>
    </w:p>
    <w:p w14:paraId="151D7A6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①投标描述前后不一致且不涉及证明材料的：按照本章第6.3条第（1）、（2）款规定执行。</w:t>
      </w:r>
    </w:p>
    <w:p w14:paraId="6299FF1B">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②投标描述与证明材料不一致或多份证明材料之间不一致的：</w:t>
      </w:r>
    </w:p>
    <w:p w14:paraId="236E812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a.评标委员会将要求投标人进行书面澄清，并按照不利于投标人的内容进行评标。</w:t>
      </w:r>
    </w:p>
    <w:p w14:paraId="1A3140C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103B66D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FD113F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6.4比较与评价</w:t>
      </w:r>
    </w:p>
    <w:p w14:paraId="4E9F7FC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（1）按照本章第7条载明的评标方法和标准，对符合性审查合格的电子投标文件进行比较与评价。</w:t>
      </w:r>
    </w:p>
    <w:p w14:paraId="47A09A9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（2）关于相同品牌产品（政府采购服务类项目不适用本条款规定）</w:t>
      </w:r>
    </w:p>
    <w:p w14:paraId="2591080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4ACEBC5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226CE08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无</w:t>
      </w:r>
    </w:p>
    <w:p w14:paraId="4D91AD9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b.招标文件未规定的，采取随机抽取方式确定，其他投标无效。</w:t>
      </w:r>
    </w:p>
    <w:p w14:paraId="6833C67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10D083F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a.招标文件规定的方式：</w:t>
      </w:r>
    </w:p>
    <w:p w14:paraId="617BBC3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无</w:t>
      </w:r>
    </w:p>
    <w:p w14:paraId="1CEB1DD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b.招标文件未规定的，采取随机抽取方式确定，其他同品牌投标人不作为中标候选人。</w:t>
      </w:r>
    </w:p>
    <w:p w14:paraId="20C4511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③非单一产品采购项目，多家投标人提供的核心产品品牌相同的，按照本章第6.4条第（2）款第①、②规定处理。</w:t>
      </w:r>
    </w:p>
    <w:p w14:paraId="29A47F0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（3）漏（缺）项</w:t>
      </w:r>
    </w:p>
    <w:p w14:paraId="786095F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①招标文件中要求列入报价的费用（含配置、功能），漏（缺）项的报价视为已经包括在投标总价中。</w:t>
      </w:r>
    </w:p>
    <w:p w14:paraId="746EF930">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②对多报项及赠送项的价格评标时不予核减，全部进入评标价评议。</w:t>
      </w:r>
    </w:p>
    <w:p w14:paraId="1C4E261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6.5推荐中标候选人：详见本章第7.2条规定。</w:t>
      </w:r>
    </w:p>
    <w:p w14:paraId="340413C5">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6.6编写评标报告</w:t>
      </w:r>
    </w:p>
    <w:p w14:paraId="72CDA18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（1）评标报告由评标委员会负责编写。</w:t>
      </w:r>
    </w:p>
    <w:p w14:paraId="24E6B3A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（2）评标报告应包括下列内容：</w:t>
      </w:r>
    </w:p>
    <w:p w14:paraId="3D8A714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①招标公告刊登的媒体名称、开标日期和地点；</w:t>
      </w:r>
    </w:p>
    <w:p w14:paraId="0692740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②投标人名单和评标委员会成员名单；</w:t>
      </w:r>
    </w:p>
    <w:p w14:paraId="1F01DC07">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③评标方法和标准；</w:t>
      </w:r>
    </w:p>
    <w:p w14:paraId="12DA64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④开标记录和评标情况及说明，包括无效投标人名单及原因；</w:t>
      </w:r>
    </w:p>
    <w:p w14:paraId="30899BE2">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⑤评标结果，包括中标候选人名单或确定的中标人；</w:t>
      </w:r>
    </w:p>
    <w:p w14:paraId="36B4202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⑥其他需要说明的情况，包括但不限于：评标过程中投标人的澄清、说明或补正，评委更换等。</w:t>
      </w:r>
    </w:p>
    <w:p w14:paraId="09C942B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62B43154">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6.8评委对需要共同认定的事项存在争议的，应按照少数服从多数的原则进行认定。持不同意见的评委应在评标报告上签署不同意见及理由，否则视为同意评标报告。</w:t>
      </w:r>
    </w:p>
    <w:p w14:paraId="2CB4500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6.9在评标过程中发现投标人有下列情形之一的，评标委员会应认定其投标无效，并书面报告本项目监督管理部门：</w:t>
      </w:r>
    </w:p>
    <w:p w14:paraId="020EDA7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（1）恶意串通（包括但不限于招标文件第三章第9.7条规定情形）；</w:t>
      </w:r>
    </w:p>
    <w:p w14:paraId="58582C6D">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（2）妨碍其他投标人的竞争行为；</w:t>
      </w:r>
    </w:p>
    <w:p w14:paraId="53A926A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（3）损害采购人或其他投标人的合法权益。</w:t>
      </w:r>
    </w:p>
    <w:p w14:paraId="4E77AA1C">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6.10评标过程中，有下列情形之一的，应予废标：</w:t>
      </w:r>
    </w:p>
    <w:p w14:paraId="421DE9E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（1）符合性审查合格的投标人不足三家的；</w:t>
      </w:r>
    </w:p>
    <w:p w14:paraId="08DC3531">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（2）有关法律、法规和规章规定废标的情形。</w:t>
      </w:r>
    </w:p>
    <w:p w14:paraId="5EC1C6AA">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※若废标，则本次采购活动结束， 福建省中凯招标代理有限公司 将依法组织后续采购活动（包括但不限于：重新招标、采用其他方式采购等）。</w:t>
      </w:r>
    </w:p>
    <w:p w14:paraId="2C4F8B2F">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7、评标方法和标准</w:t>
      </w:r>
    </w:p>
    <w:p w14:paraId="5032FDA9">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7.1评标方法：</w:t>
      </w:r>
    </w:p>
    <w:p w14:paraId="3855EBC3">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采购包1：综合评分法</w:t>
      </w:r>
    </w:p>
    <w:p w14:paraId="72279089">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采购包2：综合评分法</w:t>
      </w:r>
    </w:p>
    <w:p w14:paraId="4CB70198">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：综合评分法</w:t>
      </w:r>
    </w:p>
    <w:p w14:paraId="6CBFB9A7">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：综合评分法</w:t>
      </w:r>
    </w:p>
    <w:p w14:paraId="29B0A153">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：综合评分法</w:t>
      </w:r>
    </w:p>
    <w:p w14:paraId="5D965615">
      <w:pPr>
        <w:pStyle w:val="14"/>
        <w:spacing w:line="360" w:lineRule="auto"/>
        <w:ind w:firstLine="480" w:firstLineChars="200"/>
        <w:jc w:val="both"/>
        <w:rPr>
          <w:rFonts w:hint="default" w:ascii="宋体" w:hAnsi="宋体" w:eastAsia="宋体" w:cs="宋体"/>
          <w:sz w:val="24"/>
          <w:szCs w:val="24"/>
        </w:rPr>
      </w:pPr>
      <w:r>
        <w:rPr>
          <w:rFonts w:ascii="宋体" w:hAnsi="宋体" w:eastAsia="宋体" w:cs="宋体"/>
          <w:sz w:val="24"/>
          <w:szCs w:val="24"/>
        </w:rPr>
        <w:t>7.2评标标准</w:t>
      </w:r>
    </w:p>
    <w:p w14:paraId="76915331">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rPr>
        <w:t>采购包1：综合评分法</w:t>
      </w:r>
    </w:p>
    <w:p w14:paraId="30660F89">
      <w:pPr>
        <w:pStyle w:val="14"/>
        <w:spacing w:line="360" w:lineRule="auto"/>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02BA80F8">
      <w:pPr>
        <w:pStyle w:val="14"/>
        <w:spacing w:line="360" w:lineRule="auto"/>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278A0FE">
      <w:pPr>
        <w:pStyle w:val="14"/>
        <w:spacing w:line="360" w:lineRule="auto"/>
        <w:jc w:val="both"/>
        <w:rPr>
          <w:rFonts w:hint="default" w:ascii="宋体" w:hAnsi="宋体" w:eastAsia="宋体" w:cs="宋体"/>
          <w:sz w:val="24"/>
          <w:szCs w:val="24"/>
        </w:rPr>
      </w:pPr>
      <w:r>
        <w:rPr>
          <w:rFonts w:ascii="宋体" w:hAnsi="宋体" w:eastAsia="宋体" w:cs="宋体"/>
          <w:sz w:val="24"/>
          <w:szCs w:val="24"/>
        </w:rPr>
        <w:t>各项评审因素的设置如下：</w:t>
      </w:r>
    </w:p>
    <w:p w14:paraId="3F9AA8D7">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价格项（F1×A1）满分为30.0000分</w:t>
      </w:r>
    </w:p>
    <w:p w14:paraId="0AE2CF17">
      <w:pPr>
        <w:pStyle w:val="14"/>
        <w:spacing w:line="360" w:lineRule="auto"/>
        <w:jc w:val="both"/>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C697B74">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1146"/>
        <w:gridCol w:w="954"/>
        <w:gridCol w:w="6218"/>
      </w:tblGrid>
      <w:tr w14:paraId="631547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2FEB938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项目</w:t>
            </w:r>
          </w:p>
        </w:tc>
        <w:tc>
          <w:tcPr>
            <w:tcW w:w="1146" w:type="dxa"/>
            <w:vAlign w:val="center"/>
          </w:tcPr>
          <w:p w14:paraId="004CE72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适用对象</w:t>
            </w:r>
          </w:p>
        </w:tc>
        <w:tc>
          <w:tcPr>
            <w:tcW w:w="954" w:type="dxa"/>
            <w:vAlign w:val="center"/>
          </w:tcPr>
          <w:p w14:paraId="217EC6D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比例</w:t>
            </w:r>
          </w:p>
        </w:tc>
        <w:tc>
          <w:tcPr>
            <w:tcW w:w="6218" w:type="dxa"/>
            <w:vAlign w:val="center"/>
          </w:tcPr>
          <w:p w14:paraId="6FF15C1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描述</w:t>
            </w:r>
          </w:p>
        </w:tc>
      </w:tr>
      <w:tr w14:paraId="10CE80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3B60B1B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小型、微型企业，监狱企业，残疾人福利性单位</w:t>
            </w:r>
          </w:p>
        </w:tc>
        <w:tc>
          <w:tcPr>
            <w:tcW w:w="1146" w:type="dxa"/>
            <w:vAlign w:val="center"/>
          </w:tcPr>
          <w:p w14:paraId="0042C99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投标人或者联合体均为小型、微型企业</w:t>
            </w:r>
          </w:p>
        </w:tc>
        <w:tc>
          <w:tcPr>
            <w:tcW w:w="954" w:type="dxa"/>
            <w:vAlign w:val="center"/>
          </w:tcPr>
          <w:p w14:paraId="4137AD9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15.00%</w:t>
            </w:r>
          </w:p>
        </w:tc>
        <w:tc>
          <w:tcPr>
            <w:tcW w:w="6218" w:type="dxa"/>
            <w:vAlign w:val="center"/>
          </w:tcPr>
          <w:p w14:paraId="3EFB9196">
            <w:pPr>
              <w:pStyle w:val="14"/>
              <w:spacing w:line="360" w:lineRule="auto"/>
              <w:jc w:val="both"/>
              <w:rPr>
                <w:rFonts w:hint="default" w:ascii="宋体" w:hAnsi="宋体" w:eastAsia="宋体" w:cs="宋体"/>
                <w:sz w:val="24"/>
                <w:szCs w:val="24"/>
              </w:rPr>
            </w:pPr>
            <w:r>
              <w:rPr>
                <w:rFonts w:ascii="宋体" w:hAnsi="宋体" w:eastAsia="宋体" w:cs="宋体"/>
                <w:sz w:val="24"/>
                <w:szCs w:val="24"/>
              </w:rPr>
              <w:t>本</w:t>
            </w:r>
            <w:r>
              <w:rPr>
                <w:rFonts w:ascii="宋体" w:hAnsi="宋体" w:eastAsia="宋体" w:cs="宋体"/>
                <w:sz w:val="24"/>
                <w:szCs w:val="24"/>
                <w:lang w:eastAsia="zh-CN"/>
              </w:rPr>
              <w:t>采购包</w:t>
            </w:r>
            <w:r>
              <w:rPr>
                <w:rFonts w:ascii="宋体" w:hAnsi="宋体" w:eastAsia="宋体" w:cs="宋体"/>
                <w:sz w:val="24"/>
                <w:szCs w:val="24"/>
              </w:rPr>
              <w:t>为</w:t>
            </w:r>
            <w:r>
              <w:rPr>
                <w:rFonts w:ascii="宋体" w:hAnsi="宋体" w:eastAsia="宋体" w:cs="宋体"/>
                <w:sz w:val="24"/>
                <w:szCs w:val="24"/>
                <w:lang w:eastAsia="zh-CN"/>
              </w:rPr>
              <w:t>非</w:t>
            </w:r>
            <w:r>
              <w:rPr>
                <w:rFonts w:ascii="宋体" w:hAnsi="宋体" w:eastAsia="宋体" w:cs="宋体"/>
                <w:sz w:val="24"/>
                <w:szCs w:val="24"/>
              </w:rPr>
              <w:t>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6C26C9DE">
      <w:pPr>
        <w:pStyle w:val="14"/>
        <w:spacing w:line="360" w:lineRule="auto"/>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7354"/>
      </w:tblGrid>
      <w:tr w14:paraId="04C76B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53ED80FE">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000" w:type="dxa"/>
          </w:tcPr>
          <w:p w14:paraId="6E4CE8F8">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7354" w:type="dxa"/>
          </w:tcPr>
          <w:p w14:paraId="070B0CF8">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方法</w:t>
            </w:r>
          </w:p>
        </w:tc>
      </w:tr>
      <w:tr w14:paraId="1EDF63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A0530DB">
            <w:pPr>
              <w:pStyle w:val="14"/>
              <w:spacing w:line="360" w:lineRule="auto"/>
              <w:jc w:val="both"/>
              <w:rPr>
                <w:rFonts w:hint="default" w:ascii="宋体" w:hAnsi="宋体" w:eastAsia="宋体" w:cs="宋体"/>
                <w:sz w:val="24"/>
                <w:szCs w:val="24"/>
              </w:rPr>
            </w:pPr>
            <w:r>
              <w:rPr>
                <w:rFonts w:ascii="宋体" w:hAnsi="宋体" w:eastAsia="宋体" w:cs="宋体"/>
                <w:sz w:val="24"/>
                <w:szCs w:val="24"/>
              </w:rPr>
              <w:t>节能、环境标志产品</w:t>
            </w:r>
          </w:p>
        </w:tc>
        <w:tc>
          <w:tcPr>
            <w:tcW w:w="1000" w:type="dxa"/>
          </w:tcPr>
          <w:p w14:paraId="42329C0C">
            <w:pPr>
              <w:pStyle w:val="14"/>
              <w:spacing w:line="360" w:lineRule="auto"/>
              <w:jc w:val="right"/>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eastAsia="zh-CN"/>
              </w:rPr>
              <w:t>.00</w:t>
            </w:r>
            <w:r>
              <w:rPr>
                <w:rFonts w:ascii="宋体" w:hAnsi="宋体" w:eastAsia="宋体" w:cs="宋体"/>
                <w:sz w:val="24"/>
                <w:szCs w:val="24"/>
              </w:rPr>
              <w:t>%</w:t>
            </w:r>
          </w:p>
        </w:tc>
        <w:tc>
          <w:tcPr>
            <w:tcW w:w="7354" w:type="dxa"/>
          </w:tcPr>
          <w:p w14:paraId="0CADF0D4">
            <w:pPr>
              <w:pStyle w:val="14"/>
              <w:spacing w:line="360" w:lineRule="auto"/>
              <w:jc w:val="both"/>
              <w:rPr>
                <w:rFonts w:hint="default" w:ascii="宋体" w:hAnsi="宋体" w:eastAsia="宋体" w:cs="宋体"/>
                <w:sz w:val="24"/>
                <w:szCs w:val="24"/>
              </w:rPr>
            </w:pPr>
            <w:r>
              <w:rPr>
                <w:rFonts w:ascii="宋体" w:hAnsi="宋体" w:eastAsia="宋体" w:cs="宋体"/>
                <w:sz w:val="24"/>
                <w:szCs w:val="24"/>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08C3A947">
      <w:pPr>
        <w:pStyle w:val="14"/>
        <w:spacing w:line="360" w:lineRule="auto"/>
        <w:jc w:val="both"/>
        <w:rPr>
          <w:rFonts w:hint="default" w:ascii="宋体" w:hAnsi="宋体" w:eastAsia="宋体" w:cs="宋体"/>
          <w:sz w:val="24"/>
          <w:szCs w:val="24"/>
        </w:rPr>
      </w:pPr>
      <w:r>
        <w:rPr>
          <w:rFonts w:ascii="宋体" w:hAnsi="宋体" w:eastAsia="宋体" w:cs="宋体"/>
          <w:sz w:val="24"/>
          <w:szCs w:val="24"/>
        </w:rPr>
        <w:t>其他：无</w:t>
      </w:r>
    </w:p>
    <w:p w14:paraId="6B9990E2">
      <w:pPr>
        <w:pStyle w:val="14"/>
        <w:spacing w:line="360" w:lineRule="auto"/>
        <w:jc w:val="both"/>
        <w:rPr>
          <w:rFonts w:hint="default" w:ascii="宋体" w:hAnsi="宋体" w:eastAsia="宋体" w:cs="宋体"/>
          <w:sz w:val="24"/>
          <w:szCs w:val="24"/>
        </w:rPr>
      </w:pPr>
      <w:r>
        <w:rPr>
          <w:rFonts w:ascii="宋体" w:hAnsi="宋体" w:eastAsia="宋体" w:cs="宋体"/>
          <w:sz w:val="24"/>
          <w:szCs w:val="24"/>
        </w:rPr>
        <w:t>技术项（F2×A2）满分为60.0000分</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8"/>
        <w:gridCol w:w="925"/>
        <w:gridCol w:w="7152"/>
      </w:tblGrid>
      <w:tr w14:paraId="2E071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tcPr>
          <w:p w14:paraId="03F840F7">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25" w:type="dxa"/>
          </w:tcPr>
          <w:p w14:paraId="496F20D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52" w:type="dxa"/>
          </w:tcPr>
          <w:p w14:paraId="20645AEF">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528DB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vAlign w:val="center"/>
          </w:tcPr>
          <w:p w14:paraId="75C7D22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1、技术指标响应情况</w:t>
            </w:r>
          </w:p>
        </w:tc>
        <w:tc>
          <w:tcPr>
            <w:tcW w:w="925" w:type="dxa"/>
            <w:vAlign w:val="center"/>
          </w:tcPr>
          <w:p w14:paraId="71FF856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60.00</w:t>
            </w:r>
          </w:p>
        </w:tc>
        <w:tc>
          <w:tcPr>
            <w:tcW w:w="7152" w:type="dxa"/>
          </w:tcPr>
          <w:p w14:paraId="6A8ED445">
            <w:pPr>
              <w:pStyle w:val="14"/>
              <w:spacing w:line="360" w:lineRule="auto"/>
              <w:jc w:val="both"/>
              <w:rPr>
                <w:rFonts w:hint="default" w:ascii="宋体" w:hAnsi="宋体" w:eastAsia="宋体" w:cs="宋体"/>
                <w:sz w:val="24"/>
                <w:szCs w:val="24"/>
              </w:rPr>
            </w:pPr>
            <w:r>
              <w:rPr>
                <w:rFonts w:ascii="宋体" w:hAnsi="宋体" w:eastAsia="宋体" w:cs="宋体"/>
                <w:sz w:val="24"/>
                <w:szCs w:val="24"/>
                <w:highlight w:val="none"/>
              </w:rPr>
              <w:t>根据投标人所投设备对《第五章招标内容及要求》“二、技术服务要求”中技术参数的响应、承诺情况，由评委进行评议并评分：①完全满足招标文件技术参数要求的得60分；②标注“★”符号的技术参数（共</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项）出现负偏离将导致投标无效；③标注“▲”符号的技术参数每负偏离一项扣</w:t>
            </w:r>
            <w:r>
              <w:rPr>
                <w:rFonts w:hint="eastAsia" w:ascii="宋体" w:hAnsi="宋体" w:eastAsia="宋体" w:cs="宋体"/>
                <w:sz w:val="24"/>
                <w:szCs w:val="24"/>
                <w:highlight w:val="none"/>
                <w:lang w:val="en-US" w:eastAsia="zh-CN"/>
              </w:rPr>
              <w:t>1</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38</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38</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标注“▲”符号的参数负偏离≥2项，则按实质性偏离招标文件要求处理，其投标无效</w:t>
            </w:r>
            <w:r>
              <w:rPr>
                <w:rFonts w:hint="eastAsia" w:ascii="宋体" w:hAnsi="宋体" w:eastAsia="宋体" w:cs="宋体"/>
                <w:sz w:val="24"/>
                <w:szCs w:val="24"/>
                <w:highlight w:val="none"/>
                <w:lang w:eastAsia="zh-CN"/>
              </w:rPr>
              <w:t>；④</w:t>
            </w:r>
            <w:r>
              <w:rPr>
                <w:rFonts w:hint="eastAsia" w:ascii="宋体" w:hAnsi="宋体" w:eastAsia="宋体" w:cs="宋体"/>
                <w:sz w:val="24"/>
                <w:szCs w:val="24"/>
                <w:highlight w:val="none"/>
                <w:lang w:val="en-US" w:eastAsia="zh-CN"/>
              </w:rPr>
              <w:t>未标注符号的技术参数（评审指标1-评审指标50）</w:t>
            </w:r>
            <w:r>
              <w:rPr>
                <w:rFonts w:ascii="宋体" w:hAnsi="宋体" w:eastAsia="宋体" w:cs="宋体"/>
                <w:sz w:val="24"/>
                <w:szCs w:val="24"/>
                <w:highlight w:val="none"/>
              </w:rPr>
              <w:t>每负偏离一项扣</w:t>
            </w:r>
            <w:r>
              <w:rPr>
                <w:rFonts w:hint="eastAsia" w:ascii="宋体" w:hAnsi="宋体" w:eastAsia="宋体" w:cs="宋体"/>
                <w:sz w:val="24"/>
                <w:szCs w:val="24"/>
                <w:highlight w:val="none"/>
                <w:lang w:val="en-US" w:eastAsia="zh-CN"/>
              </w:rPr>
              <w:t>0.44</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50</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22</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正偏离不加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bl>
    <w:p w14:paraId="11D594E6">
      <w:pPr>
        <w:pStyle w:val="14"/>
        <w:spacing w:line="360" w:lineRule="auto"/>
        <w:jc w:val="both"/>
        <w:rPr>
          <w:rFonts w:hint="default" w:ascii="宋体" w:hAnsi="宋体" w:eastAsia="宋体" w:cs="宋体"/>
          <w:sz w:val="24"/>
          <w:szCs w:val="24"/>
        </w:rPr>
      </w:pPr>
      <w:r>
        <w:rPr>
          <w:rFonts w:ascii="宋体" w:hAnsi="宋体" w:eastAsia="宋体" w:cs="宋体"/>
          <w:sz w:val="24"/>
          <w:szCs w:val="24"/>
        </w:rPr>
        <w:t>商务项（F3×A3）满分为10.0000分</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938"/>
        <w:gridCol w:w="7166"/>
      </w:tblGrid>
      <w:tr w14:paraId="773B98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tcPr>
          <w:p w14:paraId="1A43A87C">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38" w:type="dxa"/>
          </w:tcPr>
          <w:p w14:paraId="3BB7F547">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66" w:type="dxa"/>
          </w:tcPr>
          <w:p w14:paraId="568291FE">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52811A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7EF005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1、业绩</w:t>
            </w:r>
          </w:p>
        </w:tc>
        <w:tc>
          <w:tcPr>
            <w:tcW w:w="938" w:type="dxa"/>
            <w:vAlign w:val="center"/>
          </w:tcPr>
          <w:p w14:paraId="20EFF7B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1C00C7FF">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根据各投标人提供自2021年1月1日起至本项目投标截止时间止(日期以合同签订时间为准) 由投标人所完成的同类业绩情况进行评分，每提供1份完整合格的业绩项目的得1分, 累计最高得3分。注：投标人须同时提供中标（成交）公告(提供相关网站中标（成交）公告的下载网页并注明网址)、中标（成交）通知书复印件、采购合同文本复印件，以及能够证明该业绩项目已经采购人验收合格的相关证明文件复印件(原件备查)，未同时提供以上证明材料的本项不得分。</w:t>
            </w:r>
          </w:p>
        </w:tc>
      </w:tr>
      <w:tr w14:paraId="4468C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5F8E26B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2、技术培训方案</w:t>
            </w:r>
          </w:p>
        </w:tc>
        <w:tc>
          <w:tcPr>
            <w:tcW w:w="938" w:type="dxa"/>
            <w:vAlign w:val="center"/>
          </w:tcPr>
          <w:p w14:paraId="430FE1E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3A1CAFD6">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3D3934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395B2DE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3、售后服务方案</w:t>
            </w:r>
          </w:p>
        </w:tc>
        <w:tc>
          <w:tcPr>
            <w:tcW w:w="938" w:type="dxa"/>
            <w:vAlign w:val="center"/>
          </w:tcPr>
          <w:p w14:paraId="259318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2886135C">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6E93EB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611CF3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4、质保期</w:t>
            </w:r>
          </w:p>
        </w:tc>
        <w:tc>
          <w:tcPr>
            <w:tcW w:w="938" w:type="dxa"/>
            <w:vAlign w:val="center"/>
          </w:tcPr>
          <w:p w14:paraId="70D6CE6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7DA5E16A">
            <w:pPr>
              <w:pStyle w:val="14"/>
              <w:spacing w:line="360" w:lineRule="auto"/>
              <w:jc w:val="both"/>
              <w:rPr>
                <w:rFonts w:hint="default" w:ascii="宋体" w:hAnsi="宋体" w:eastAsia="宋体" w:cs="宋体"/>
                <w:sz w:val="24"/>
                <w:szCs w:val="24"/>
              </w:rPr>
            </w:pPr>
            <w:r>
              <w:rPr>
                <w:rFonts w:ascii="宋体" w:hAnsi="宋体" w:eastAsia="宋体" w:cs="宋体"/>
                <w:sz w:val="24"/>
                <w:szCs w:val="24"/>
              </w:rPr>
              <w:t>据各投标人提供的质保期时间承诺情况进行评分，满足招标文件要求的不得分，在不增加费用的情况下，每增加1年加1分，满分3分，其余不得分。（投标人须提供承诺函，格式自拟）</w:t>
            </w:r>
          </w:p>
        </w:tc>
      </w:tr>
    </w:tbl>
    <w:p w14:paraId="4C112C71">
      <w:pPr>
        <w:pStyle w:val="14"/>
        <w:spacing w:line="360" w:lineRule="auto"/>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16FB7D48">
      <w:pPr>
        <w:pStyle w:val="14"/>
        <w:spacing w:line="360" w:lineRule="auto"/>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26CD6BC0">
      <w:pPr>
        <w:pStyle w:val="14"/>
        <w:spacing w:line="360" w:lineRule="auto"/>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59DDCB48">
      <w:pPr>
        <w:pStyle w:val="14"/>
        <w:spacing w:line="360" w:lineRule="auto"/>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0CF86A5F">
      <w:pPr>
        <w:pStyle w:val="14"/>
        <w:spacing w:line="360" w:lineRule="auto"/>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33C16623">
      <w:pPr>
        <w:pStyle w:val="14"/>
        <w:spacing w:line="360" w:lineRule="auto"/>
        <w:jc w:val="both"/>
        <w:rPr>
          <w:rFonts w:hint="default" w:ascii="宋体" w:hAnsi="宋体" w:eastAsia="宋体" w:cs="宋体"/>
          <w:b/>
          <w:bCs/>
          <w:sz w:val="24"/>
          <w:szCs w:val="24"/>
        </w:rPr>
      </w:pPr>
    </w:p>
    <w:p w14:paraId="507226D1">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rPr>
        <w:t>采购包2：综合评分法</w:t>
      </w:r>
    </w:p>
    <w:p w14:paraId="60CEE6A1">
      <w:pPr>
        <w:pStyle w:val="14"/>
        <w:spacing w:line="360" w:lineRule="auto"/>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1AF9D927">
      <w:pPr>
        <w:pStyle w:val="14"/>
        <w:spacing w:line="360" w:lineRule="auto"/>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2E4A474">
      <w:pPr>
        <w:pStyle w:val="14"/>
        <w:spacing w:line="360" w:lineRule="auto"/>
        <w:jc w:val="both"/>
        <w:rPr>
          <w:rFonts w:hint="default" w:ascii="宋体" w:hAnsi="宋体" w:eastAsia="宋体" w:cs="宋体"/>
          <w:sz w:val="24"/>
          <w:szCs w:val="24"/>
        </w:rPr>
      </w:pPr>
      <w:r>
        <w:rPr>
          <w:rFonts w:ascii="宋体" w:hAnsi="宋体" w:eastAsia="宋体" w:cs="宋体"/>
          <w:sz w:val="24"/>
          <w:szCs w:val="24"/>
        </w:rPr>
        <w:t>各项评审因素的设置如下：</w:t>
      </w:r>
    </w:p>
    <w:p w14:paraId="591F6EA0">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价格项（F1×A1）满分为30.0000分</w:t>
      </w:r>
    </w:p>
    <w:p w14:paraId="0B4D8314">
      <w:pPr>
        <w:pStyle w:val="14"/>
        <w:spacing w:line="360" w:lineRule="auto"/>
        <w:jc w:val="both"/>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C7DABA7">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1"/>
        <w:tblW w:w="875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602"/>
      </w:tblGrid>
      <w:tr w14:paraId="540ECA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5177EAC">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661" w:type="dxa"/>
          </w:tcPr>
          <w:p w14:paraId="069E9995">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适用对象</w:t>
            </w:r>
          </w:p>
        </w:tc>
        <w:tc>
          <w:tcPr>
            <w:tcW w:w="831" w:type="dxa"/>
          </w:tcPr>
          <w:p w14:paraId="0B0CC722">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4602" w:type="dxa"/>
          </w:tcPr>
          <w:p w14:paraId="5038D7B2">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297934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755" w:type="dxa"/>
            <w:gridSpan w:val="4"/>
          </w:tcPr>
          <w:p w14:paraId="15C31C83">
            <w:pPr>
              <w:pStyle w:val="14"/>
              <w:spacing w:line="360" w:lineRule="auto"/>
              <w:jc w:val="center"/>
              <w:rPr>
                <w:rFonts w:hint="default" w:ascii="宋体" w:hAnsi="宋体" w:eastAsia="宋体" w:cs="宋体"/>
                <w:sz w:val="24"/>
                <w:szCs w:val="24"/>
                <w:lang w:eastAsia="zh-CN"/>
              </w:rPr>
            </w:pPr>
            <w:r>
              <w:rPr>
                <w:rFonts w:ascii="宋体" w:hAnsi="宋体" w:eastAsia="宋体" w:cs="宋体"/>
                <w:sz w:val="24"/>
                <w:szCs w:val="24"/>
                <w:lang w:eastAsia="zh-CN"/>
              </w:rPr>
              <w:t>无</w:t>
            </w:r>
          </w:p>
        </w:tc>
      </w:tr>
    </w:tbl>
    <w:p w14:paraId="1C1A04B7">
      <w:pPr>
        <w:pStyle w:val="14"/>
        <w:spacing w:line="360" w:lineRule="auto"/>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1"/>
        <w:tblW w:w="87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6713"/>
      </w:tblGrid>
      <w:tr w14:paraId="6D09A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477DE0B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000" w:type="dxa"/>
          </w:tcPr>
          <w:p w14:paraId="2ABA5B2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6713" w:type="dxa"/>
          </w:tcPr>
          <w:p w14:paraId="6E57CC99">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方法</w:t>
            </w:r>
          </w:p>
        </w:tc>
      </w:tr>
      <w:tr w14:paraId="48426C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12F60A7">
            <w:pPr>
              <w:pStyle w:val="14"/>
              <w:spacing w:line="360" w:lineRule="auto"/>
              <w:jc w:val="both"/>
              <w:rPr>
                <w:rFonts w:hint="default" w:ascii="宋体" w:hAnsi="宋体" w:eastAsia="宋体" w:cs="宋体"/>
                <w:sz w:val="24"/>
                <w:szCs w:val="24"/>
              </w:rPr>
            </w:pPr>
            <w:r>
              <w:rPr>
                <w:rFonts w:ascii="宋体" w:hAnsi="宋体" w:eastAsia="宋体" w:cs="宋体"/>
                <w:sz w:val="24"/>
                <w:szCs w:val="24"/>
              </w:rPr>
              <w:t>节能、环境标志产品</w:t>
            </w:r>
          </w:p>
        </w:tc>
        <w:tc>
          <w:tcPr>
            <w:tcW w:w="1000" w:type="dxa"/>
          </w:tcPr>
          <w:p w14:paraId="26E65103">
            <w:pPr>
              <w:pStyle w:val="14"/>
              <w:spacing w:line="360" w:lineRule="auto"/>
              <w:jc w:val="right"/>
              <w:rPr>
                <w:rFonts w:hint="default" w:ascii="宋体" w:hAnsi="宋体" w:eastAsia="宋体" w:cs="宋体"/>
                <w:sz w:val="24"/>
                <w:szCs w:val="24"/>
              </w:rPr>
            </w:pPr>
            <w:r>
              <w:rPr>
                <w:rFonts w:ascii="宋体" w:hAnsi="宋体" w:eastAsia="宋体" w:cs="宋体"/>
                <w:sz w:val="24"/>
                <w:szCs w:val="24"/>
              </w:rPr>
              <w:t>10.00%</w:t>
            </w:r>
          </w:p>
        </w:tc>
        <w:tc>
          <w:tcPr>
            <w:tcW w:w="6713" w:type="dxa"/>
          </w:tcPr>
          <w:p w14:paraId="637E92EA">
            <w:pPr>
              <w:pStyle w:val="14"/>
              <w:spacing w:line="360" w:lineRule="auto"/>
              <w:jc w:val="both"/>
              <w:rPr>
                <w:rFonts w:hint="default" w:ascii="宋体" w:hAnsi="宋体" w:eastAsia="宋体" w:cs="宋体"/>
                <w:sz w:val="24"/>
                <w:szCs w:val="24"/>
              </w:rPr>
            </w:pPr>
            <w:r>
              <w:rPr>
                <w:rFonts w:ascii="宋体" w:hAnsi="宋体" w:eastAsia="宋体" w:cs="宋体"/>
                <w:sz w:val="24"/>
                <w:szCs w:val="24"/>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5BBD0C4B">
      <w:pPr>
        <w:pStyle w:val="14"/>
        <w:spacing w:line="360" w:lineRule="auto"/>
        <w:jc w:val="both"/>
        <w:rPr>
          <w:rFonts w:hint="default" w:ascii="宋体" w:hAnsi="宋体" w:eastAsia="宋体" w:cs="宋体"/>
          <w:sz w:val="24"/>
          <w:szCs w:val="24"/>
        </w:rPr>
      </w:pPr>
      <w:r>
        <w:rPr>
          <w:rFonts w:ascii="宋体" w:hAnsi="宋体" w:eastAsia="宋体" w:cs="宋体"/>
          <w:sz w:val="24"/>
          <w:szCs w:val="24"/>
        </w:rPr>
        <w:t>其他：无</w:t>
      </w:r>
    </w:p>
    <w:p w14:paraId="0418DEEB">
      <w:pPr>
        <w:pStyle w:val="14"/>
        <w:spacing w:line="360" w:lineRule="auto"/>
        <w:jc w:val="both"/>
        <w:rPr>
          <w:rFonts w:hint="default" w:ascii="宋体" w:hAnsi="宋体" w:eastAsia="宋体" w:cs="宋体"/>
          <w:sz w:val="24"/>
          <w:szCs w:val="24"/>
        </w:rPr>
      </w:pPr>
      <w:r>
        <w:rPr>
          <w:rFonts w:ascii="宋体" w:hAnsi="宋体" w:eastAsia="宋体" w:cs="宋体"/>
          <w:sz w:val="24"/>
          <w:szCs w:val="24"/>
        </w:rPr>
        <w:t>技术项（F2×A2）满分为60.0000分</w:t>
      </w:r>
    </w:p>
    <w:tbl>
      <w:tblPr>
        <w:tblStyle w:val="11"/>
        <w:tblW w:w="87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8"/>
        <w:gridCol w:w="925"/>
        <w:gridCol w:w="6537"/>
      </w:tblGrid>
      <w:tr w14:paraId="3EBEC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tcPr>
          <w:p w14:paraId="2B699AE8">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25" w:type="dxa"/>
          </w:tcPr>
          <w:p w14:paraId="1BADB92B">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6537" w:type="dxa"/>
          </w:tcPr>
          <w:p w14:paraId="2986D2B9">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B143E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vAlign w:val="center"/>
          </w:tcPr>
          <w:p w14:paraId="0486D12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1、技术指标响应情况</w:t>
            </w:r>
          </w:p>
        </w:tc>
        <w:tc>
          <w:tcPr>
            <w:tcW w:w="925" w:type="dxa"/>
            <w:vAlign w:val="center"/>
          </w:tcPr>
          <w:p w14:paraId="7003A30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60.00</w:t>
            </w:r>
          </w:p>
        </w:tc>
        <w:tc>
          <w:tcPr>
            <w:tcW w:w="6537" w:type="dxa"/>
          </w:tcPr>
          <w:p w14:paraId="3D0D644D">
            <w:pPr>
              <w:pStyle w:val="14"/>
              <w:spacing w:line="360" w:lineRule="auto"/>
              <w:jc w:val="both"/>
              <w:rPr>
                <w:rFonts w:hint="default" w:ascii="宋体" w:hAnsi="宋体" w:eastAsia="宋体" w:cs="宋体"/>
                <w:sz w:val="24"/>
                <w:szCs w:val="24"/>
              </w:rPr>
            </w:pPr>
            <w:r>
              <w:rPr>
                <w:rFonts w:ascii="宋体" w:hAnsi="宋体" w:eastAsia="宋体" w:cs="宋体"/>
                <w:sz w:val="24"/>
                <w:szCs w:val="24"/>
                <w:highlight w:val="none"/>
              </w:rPr>
              <w:t>根据投标人所投设备对《第五章招标内容及要求》“二、技术服务要求”中技术参数的响应、承诺情况，由评委进行评议并评分：①完全满足招标文件技术参数要求的得60分；②标注“★”符号的技术参数出现负偏离将导致投标无效；③标注“▲”符号的技术参数每负偏离一项扣</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23</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46</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标注“▲”符号的参数负偏离≥2项，则按实质性偏离招标文件要求处理，其投标无效</w:t>
            </w:r>
            <w:r>
              <w:rPr>
                <w:rFonts w:hint="eastAsia" w:ascii="宋体" w:hAnsi="宋体" w:eastAsia="宋体" w:cs="宋体"/>
                <w:sz w:val="24"/>
                <w:szCs w:val="24"/>
                <w:highlight w:val="none"/>
                <w:lang w:eastAsia="zh-CN"/>
              </w:rPr>
              <w:t>；④</w:t>
            </w:r>
            <w:r>
              <w:rPr>
                <w:rFonts w:hint="eastAsia" w:ascii="宋体" w:hAnsi="宋体" w:eastAsia="宋体" w:cs="宋体"/>
                <w:sz w:val="24"/>
                <w:szCs w:val="24"/>
                <w:highlight w:val="none"/>
                <w:lang w:val="en-US" w:eastAsia="zh-CN"/>
              </w:rPr>
              <w:t>未标注符号的技术参数（评审指标1-评审指标50）</w:t>
            </w:r>
            <w:r>
              <w:rPr>
                <w:rFonts w:ascii="宋体" w:hAnsi="宋体" w:eastAsia="宋体" w:cs="宋体"/>
                <w:sz w:val="24"/>
                <w:szCs w:val="24"/>
                <w:highlight w:val="none"/>
              </w:rPr>
              <w:t>每负偏离一项扣</w:t>
            </w:r>
            <w:r>
              <w:rPr>
                <w:rFonts w:hint="eastAsia" w:ascii="宋体" w:hAnsi="宋体" w:eastAsia="宋体" w:cs="宋体"/>
                <w:sz w:val="24"/>
                <w:szCs w:val="24"/>
                <w:highlight w:val="none"/>
                <w:lang w:val="en-US" w:eastAsia="zh-CN"/>
              </w:rPr>
              <w:t>0.28</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50</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22</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正偏离不加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bl>
    <w:p w14:paraId="63E3BE01">
      <w:pPr>
        <w:pStyle w:val="14"/>
        <w:spacing w:line="360" w:lineRule="auto"/>
        <w:jc w:val="both"/>
        <w:rPr>
          <w:rFonts w:hint="default" w:ascii="宋体" w:hAnsi="宋体" w:eastAsia="宋体" w:cs="宋体"/>
          <w:sz w:val="24"/>
          <w:szCs w:val="24"/>
        </w:rPr>
      </w:pPr>
      <w:r>
        <w:rPr>
          <w:rFonts w:ascii="宋体" w:hAnsi="宋体" w:eastAsia="宋体" w:cs="宋体"/>
          <w:sz w:val="24"/>
          <w:szCs w:val="24"/>
        </w:rPr>
        <w:t>商务项（F3×A3）满分为10.0000分</w:t>
      </w:r>
    </w:p>
    <w:tbl>
      <w:tblPr>
        <w:tblStyle w:val="11"/>
        <w:tblW w:w="8768"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938"/>
        <w:gridCol w:w="6525"/>
      </w:tblGrid>
      <w:tr w14:paraId="7005C4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tcPr>
          <w:p w14:paraId="0AF6050B">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38" w:type="dxa"/>
          </w:tcPr>
          <w:p w14:paraId="2CFE9DD6">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6525" w:type="dxa"/>
          </w:tcPr>
          <w:p w14:paraId="59EA1096">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5E67D9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70A275B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1、业绩</w:t>
            </w:r>
          </w:p>
        </w:tc>
        <w:tc>
          <w:tcPr>
            <w:tcW w:w="938" w:type="dxa"/>
            <w:vAlign w:val="center"/>
          </w:tcPr>
          <w:p w14:paraId="4C6AD02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6525" w:type="dxa"/>
          </w:tcPr>
          <w:p w14:paraId="2201A8EE">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根据各投标人提供自2021年1月1日起至本项目投标截止时间止(日期以合同签订时间为准) 由投标人所完成的同类业绩情况进行评分，每提供1份完整合格的业绩项目的得1分, 累计最高得3分。注：投标人须同时提供中标（成交）公告(提供相关网站中标（成交）公告的下载网页并注明网址)、中标（成交）通知书复印件、采购合同文本复印件，以及能够证明该业绩项目已经采购人验收合格的相关证明文件复印件(原件备查)，未同时提供以上证明材料的本项不得分。</w:t>
            </w:r>
          </w:p>
        </w:tc>
      </w:tr>
      <w:tr w14:paraId="7E25F3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347B8E2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2、技术培训方案</w:t>
            </w:r>
          </w:p>
        </w:tc>
        <w:tc>
          <w:tcPr>
            <w:tcW w:w="938" w:type="dxa"/>
            <w:vAlign w:val="center"/>
          </w:tcPr>
          <w:p w14:paraId="1BA2F06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6525" w:type="dxa"/>
          </w:tcPr>
          <w:p w14:paraId="57348BB1">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04BA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4A7EEE3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3、售后服务方案</w:t>
            </w:r>
          </w:p>
        </w:tc>
        <w:tc>
          <w:tcPr>
            <w:tcW w:w="938" w:type="dxa"/>
            <w:vAlign w:val="center"/>
          </w:tcPr>
          <w:p w14:paraId="47D5C40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6525" w:type="dxa"/>
          </w:tcPr>
          <w:p w14:paraId="70785A4B">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25CEC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3347368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4、质保期</w:t>
            </w:r>
          </w:p>
        </w:tc>
        <w:tc>
          <w:tcPr>
            <w:tcW w:w="938" w:type="dxa"/>
            <w:vAlign w:val="center"/>
          </w:tcPr>
          <w:p w14:paraId="6FF4893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6525" w:type="dxa"/>
          </w:tcPr>
          <w:p w14:paraId="292A9F42">
            <w:pPr>
              <w:pStyle w:val="14"/>
              <w:spacing w:line="360" w:lineRule="auto"/>
              <w:jc w:val="both"/>
              <w:rPr>
                <w:rFonts w:hint="default" w:ascii="宋体" w:hAnsi="宋体" w:eastAsia="宋体" w:cs="宋体"/>
                <w:sz w:val="24"/>
                <w:szCs w:val="24"/>
              </w:rPr>
            </w:pPr>
            <w:r>
              <w:rPr>
                <w:rFonts w:ascii="宋体" w:hAnsi="宋体" w:eastAsia="宋体" w:cs="宋体"/>
                <w:sz w:val="24"/>
                <w:szCs w:val="24"/>
              </w:rPr>
              <w:t>据各投标人提供的质保期时间承诺情况进行评分，满足招标文件要求的不得分，在不增加费用的情况下，每增加1年加1分，满分3分，其余不得分。（投标人须提供承诺函，格式自拟）</w:t>
            </w:r>
          </w:p>
        </w:tc>
      </w:tr>
    </w:tbl>
    <w:p w14:paraId="63036508">
      <w:pPr>
        <w:pStyle w:val="14"/>
        <w:spacing w:line="360" w:lineRule="auto"/>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1E380ED7">
      <w:pPr>
        <w:pStyle w:val="14"/>
        <w:spacing w:line="360" w:lineRule="auto"/>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303691DF">
      <w:pPr>
        <w:pStyle w:val="14"/>
        <w:spacing w:line="360" w:lineRule="auto"/>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11893DA7">
      <w:pPr>
        <w:pStyle w:val="14"/>
        <w:spacing w:line="360" w:lineRule="auto"/>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2CE7486F">
      <w:pPr>
        <w:pStyle w:val="14"/>
        <w:spacing w:line="360" w:lineRule="auto"/>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2D908BFB">
      <w:pPr>
        <w:pStyle w:val="14"/>
        <w:spacing w:line="360" w:lineRule="auto"/>
        <w:jc w:val="both"/>
        <w:rPr>
          <w:rFonts w:hint="default" w:ascii="宋体" w:hAnsi="宋体" w:eastAsia="宋体" w:cs="宋体"/>
          <w:b/>
          <w:bCs/>
          <w:sz w:val="24"/>
          <w:szCs w:val="24"/>
        </w:rPr>
      </w:pPr>
    </w:p>
    <w:p w14:paraId="61279D9A">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rPr>
        <w:t>采购包</w:t>
      </w:r>
      <w:r>
        <w:rPr>
          <w:rFonts w:ascii="宋体" w:hAnsi="宋体" w:eastAsia="宋体" w:cs="宋体"/>
          <w:b/>
          <w:bCs/>
          <w:sz w:val="24"/>
          <w:szCs w:val="24"/>
          <w:lang w:eastAsia="zh-CN"/>
        </w:rPr>
        <w:t>3</w:t>
      </w:r>
      <w:r>
        <w:rPr>
          <w:rFonts w:ascii="宋体" w:hAnsi="宋体" w:eastAsia="宋体" w:cs="宋体"/>
          <w:b/>
          <w:bCs/>
          <w:sz w:val="24"/>
          <w:szCs w:val="24"/>
        </w:rPr>
        <w:t>：综合评分法</w:t>
      </w:r>
    </w:p>
    <w:p w14:paraId="73EC37D6">
      <w:pPr>
        <w:pStyle w:val="14"/>
        <w:spacing w:line="360" w:lineRule="auto"/>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2D4F9CF7">
      <w:pPr>
        <w:pStyle w:val="14"/>
        <w:spacing w:line="360" w:lineRule="auto"/>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346CEB0A">
      <w:pPr>
        <w:pStyle w:val="14"/>
        <w:spacing w:line="360" w:lineRule="auto"/>
        <w:jc w:val="both"/>
        <w:rPr>
          <w:rFonts w:hint="default" w:ascii="宋体" w:hAnsi="宋体" w:eastAsia="宋体" w:cs="宋体"/>
          <w:sz w:val="24"/>
          <w:szCs w:val="24"/>
        </w:rPr>
      </w:pPr>
      <w:r>
        <w:rPr>
          <w:rFonts w:ascii="宋体" w:hAnsi="宋体" w:eastAsia="宋体" w:cs="宋体"/>
          <w:sz w:val="24"/>
          <w:szCs w:val="24"/>
        </w:rPr>
        <w:t>各项评审因素的设置如下：</w:t>
      </w:r>
    </w:p>
    <w:p w14:paraId="5EEBCF18">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价格项（F1×A1）满分为30.0000分</w:t>
      </w:r>
    </w:p>
    <w:p w14:paraId="10F069DB">
      <w:pPr>
        <w:pStyle w:val="14"/>
        <w:spacing w:line="360" w:lineRule="auto"/>
        <w:jc w:val="both"/>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3ABB0AF2">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1146"/>
        <w:gridCol w:w="954"/>
        <w:gridCol w:w="6218"/>
      </w:tblGrid>
      <w:tr w14:paraId="087573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4C94F98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项目</w:t>
            </w:r>
          </w:p>
        </w:tc>
        <w:tc>
          <w:tcPr>
            <w:tcW w:w="1146" w:type="dxa"/>
            <w:vAlign w:val="center"/>
          </w:tcPr>
          <w:p w14:paraId="396FDBF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适用对象</w:t>
            </w:r>
          </w:p>
        </w:tc>
        <w:tc>
          <w:tcPr>
            <w:tcW w:w="954" w:type="dxa"/>
            <w:vAlign w:val="center"/>
          </w:tcPr>
          <w:p w14:paraId="204DAF0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比例</w:t>
            </w:r>
          </w:p>
        </w:tc>
        <w:tc>
          <w:tcPr>
            <w:tcW w:w="6218" w:type="dxa"/>
            <w:vAlign w:val="center"/>
          </w:tcPr>
          <w:p w14:paraId="55C3E62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描述</w:t>
            </w:r>
          </w:p>
        </w:tc>
      </w:tr>
      <w:tr w14:paraId="1DB2D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2D56193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小型、微型企业，监狱企业，残疾人福利性单位</w:t>
            </w:r>
          </w:p>
        </w:tc>
        <w:tc>
          <w:tcPr>
            <w:tcW w:w="1146" w:type="dxa"/>
            <w:vAlign w:val="center"/>
          </w:tcPr>
          <w:p w14:paraId="48D9B5D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投标人或者联合体均为小型、微型企业</w:t>
            </w:r>
          </w:p>
        </w:tc>
        <w:tc>
          <w:tcPr>
            <w:tcW w:w="954" w:type="dxa"/>
            <w:vAlign w:val="center"/>
          </w:tcPr>
          <w:p w14:paraId="7A954C3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15.00%</w:t>
            </w:r>
          </w:p>
        </w:tc>
        <w:tc>
          <w:tcPr>
            <w:tcW w:w="6218" w:type="dxa"/>
            <w:vAlign w:val="center"/>
          </w:tcPr>
          <w:p w14:paraId="7D46700F">
            <w:pPr>
              <w:pStyle w:val="14"/>
              <w:spacing w:line="360" w:lineRule="auto"/>
              <w:jc w:val="both"/>
              <w:rPr>
                <w:rFonts w:hint="default" w:ascii="宋体" w:hAnsi="宋体" w:eastAsia="宋体" w:cs="宋体"/>
                <w:sz w:val="24"/>
                <w:szCs w:val="24"/>
              </w:rPr>
            </w:pPr>
            <w:r>
              <w:rPr>
                <w:rFonts w:ascii="宋体" w:hAnsi="宋体" w:eastAsia="宋体" w:cs="宋体"/>
                <w:sz w:val="24"/>
                <w:szCs w:val="24"/>
              </w:rPr>
              <w:t>本</w:t>
            </w:r>
            <w:r>
              <w:rPr>
                <w:rFonts w:ascii="宋体" w:hAnsi="宋体" w:eastAsia="宋体" w:cs="宋体"/>
                <w:sz w:val="24"/>
                <w:szCs w:val="24"/>
                <w:lang w:eastAsia="zh-CN"/>
              </w:rPr>
              <w:t>采购包</w:t>
            </w:r>
            <w:r>
              <w:rPr>
                <w:rFonts w:ascii="宋体" w:hAnsi="宋体" w:eastAsia="宋体" w:cs="宋体"/>
                <w:sz w:val="24"/>
                <w:szCs w:val="24"/>
              </w:rPr>
              <w:t>为</w:t>
            </w:r>
            <w:r>
              <w:rPr>
                <w:rFonts w:ascii="宋体" w:hAnsi="宋体" w:eastAsia="宋体" w:cs="宋体"/>
                <w:sz w:val="24"/>
                <w:szCs w:val="24"/>
                <w:lang w:eastAsia="zh-CN"/>
              </w:rPr>
              <w:t>非</w:t>
            </w:r>
            <w:r>
              <w:rPr>
                <w:rFonts w:ascii="宋体" w:hAnsi="宋体" w:eastAsia="宋体" w:cs="宋体"/>
                <w:sz w:val="24"/>
                <w:szCs w:val="24"/>
              </w:rPr>
              <w:t>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5D6B6A9F">
      <w:pPr>
        <w:pStyle w:val="14"/>
        <w:spacing w:line="360" w:lineRule="auto"/>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7354"/>
      </w:tblGrid>
      <w:tr w14:paraId="312AE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4BFC210">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000" w:type="dxa"/>
          </w:tcPr>
          <w:p w14:paraId="02A81377">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7354" w:type="dxa"/>
          </w:tcPr>
          <w:p w14:paraId="2CE08EB4">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方法</w:t>
            </w:r>
          </w:p>
        </w:tc>
      </w:tr>
      <w:tr w14:paraId="07DB75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4F17E0E8">
            <w:pPr>
              <w:pStyle w:val="14"/>
              <w:spacing w:line="360" w:lineRule="auto"/>
              <w:jc w:val="both"/>
              <w:rPr>
                <w:rFonts w:hint="default" w:ascii="宋体" w:hAnsi="宋体" w:eastAsia="宋体" w:cs="宋体"/>
                <w:sz w:val="24"/>
                <w:szCs w:val="24"/>
              </w:rPr>
            </w:pPr>
            <w:r>
              <w:rPr>
                <w:rFonts w:ascii="宋体" w:hAnsi="宋体" w:eastAsia="宋体" w:cs="宋体"/>
                <w:sz w:val="24"/>
                <w:szCs w:val="24"/>
              </w:rPr>
              <w:t>节能、环境标志产品</w:t>
            </w:r>
          </w:p>
        </w:tc>
        <w:tc>
          <w:tcPr>
            <w:tcW w:w="1000" w:type="dxa"/>
          </w:tcPr>
          <w:p w14:paraId="740797E8">
            <w:pPr>
              <w:pStyle w:val="14"/>
              <w:spacing w:line="360" w:lineRule="auto"/>
              <w:jc w:val="right"/>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eastAsia="zh-CN"/>
              </w:rPr>
              <w:t>.00</w:t>
            </w:r>
            <w:r>
              <w:rPr>
                <w:rFonts w:ascii="宋体" w:hAnsi="宋体" w:eastAsia="宋体" w:cs="宋体"/>
                <w:sz w:val="24"/>
                <w:szCs w:val="24"/>
              </w:rPr>
              <w:t>%</w:t>
            </w:r>
          </w:p>
        </w:tc>
        <w:tc>
          <w:tcPr>
            <w:tcW w:w="7354" w:type="dxa"/>
          </w:tcPr>
          <w:p w14:paraId="3751B4AD">
            <w:pPr>
              <w:pStyle w:val="14"/>
              <w:spacing w:line="360" w:lineRule="auto"/>
              <w:jc w:val="both"/>
              <w:rPr>
                <w:rFonts w:hint="default" w:ascii="宋体" w:hAnsi="宋体" w:eastAsia="宋体" w:cs="宋体"/>
                <w:sz w:val="24"/>
                <w:szCs w:val="24"/>
              </w:rPr>
            </w:pPr>
            <w:r>
              <w:rPr>
                <w:rFonts w:ascii="宋体" w:hAnsi="宋体" w:eastAsia="宋体" w:cs="宋体"/>
                <w:sz w:val="24"/>
                <w:szCs w:val="24"/>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45B9809C">
      <w:pPr>
        <w:pStyle w:val="14"/>
        <w:spacing w:line="360" w:lineRule="auto"/>
        <w:jc w:val="both"/>
        <w:rPr>
          <w:rFonts w:hint="default" w:ascii="宋体" w:hAnsi="宋体" w:eastAsia="宋体" w:cs="宋体"/>
          <w:sz w:val="24"/>
          <w:szCs w:val="24"/>
        </w:rPr>
      </w:pPr>
      <w:r>
        <w:rPr>
          <w:rFonts w:ascii="宋体" w:hAnsi="宋体" w:eastAsia="宋体" w:cs="宋体"/>
          <w:sz w:val="24"/>
          <w:szCs w:val="24"/>
        </w:rPr>
        <w:t>其他：无</w:t>
      </w:r>
    </w:p>
    <w:p w14:paraId="6169C482">
      <w:pPr>
        <w:pStyle w:val="14"/>
        <w:spacing w:line="360" w:lineRule="auto"/>
        <w:jc w:val="both"/>
        <w:rPr>
          <w:rFonts w:hint="default" w:ascii="宋体" w:hAnsi="宋体" w:eastAsia="宋体" w:cs="宋体"/>
          <w:sz w:val="24"/>
          <w:szCs w:val="24"/>
        </w:rPr>
      </w:pPr>
      <w:r>
        <w:rPr>
          <w:rFonts w:ascii="宋体" w:hAnsi="宋体" w:eastAsia="宋体" w:cs="宋体"/>
          <w:sz w:val="24"/>
          <w:szCs w:val="24"/>
        </w:rPr>
        <w:t>技术项（F2×A2）满分为60.0000分</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8"/>
        <w:gridCol w:w="925"/>
        <w:gridCol w:w="7152"/>
      </w:tblGrid>
      <w:tr w14:paraId="37014D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tcPr>
          <w:p w14:paraId="75ADA9D6">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25" w:type="dxa"/>
          </w:tcPr>
          <w:p w14:paraId="376784C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52" w:type="dxa"/>
          </w:tcPr>
          <w:p w14:paraId="12461F4D">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67D0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vAlign w:val="center"/>
          </w:tcPr>
          <w:p w14:paraId="1D193CB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1、技术指标响应情况</w:t>
            </w:r>
          </w:p>
        </w:tc>
        <w:tc>
          <w:tcPr>
            <w:tcW w:w="925" w:type="dxa"/>
            <w:vAlign w:val="center"/>
          </w:tcPr>
          <w:p w14:paraId="06E1E56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60.00</w:t>
            </w:r>
          </w:p>
        </w:tc>
        <w:tc>
          <w:tcPr>
            <w:tcW w:w="7152" w:type="dxa"/>
          </w:tcPr>
          <w:p w14:paraId="0F5BA050">
            <w:pPr>
              <w:pStyle w:val="14"/>
              <w:spacing w:line="360" w:lineRule="auto"/>
              <w:jc w:val="both"/>
              <w:rPr>
                <w:rFonts w:hint="default" w:ascii="宋体" w:hAnsi="宋体" w:eastAsia="宋体" w:cs="宋体"/>
                <w:sz w:val="24"/>
                <w:szCs w:val="24"/>
              </w:rPr>
            </w:pPr>
            <w:r>
              <w:rPr>
                <w:rFonts w:ascii="宋体" w:hAnsi="宋体" w:eastAsia="宋体" w:cs="宋体"/>
                <w:sz w:val="24"/>
                <w:szCs w:val="24"/>
                <w:highlight w:val="none"/>
              </w:rPr>
              <w:t>根据投标人所投设备对《第五章招标内容及要求》“二、技术服务要求”中技术参数的响应、承诺情况，由评委进行评议并评分：①完全满足招标文件技术参数要求的得60分；②标注“★”符号的技术参数（共</w:t>
            </w:r>
            <w:r>
              <w:rPr>
                <w:rFonts w:hint="eastAsia" w:ascii="宋体" w:hAnsi="宋体" w:eastAsia="宋体" w:cs="宋体"/>
                <w:sz w:val="24"/>
                <w:szCs w:val="24"/>
                <w:highlight w:val="none"/>
                <w:lang w:val="en-US" w:eastAsia="zh-CN"/>
              </w:rPr>
              <w:t>10</w:t>
            </w:r>
            <w:r>
              <w:rPr>
                <w:rFonts w:ascii="宋体" w:hAnsi="宋体" w:eastAsia="宋体" w:cs="宋体"/>
                <w:sz w:val="24"/>
                <w:szCs w:val="24"/>
                <w:highlight w:val="none"/>
              </w:rPr>
              <w:t>项）出现负偏离将导致投标无效；③标注“▲”符号的技术参数每负偏离一项扣</w:t>
            </w:r>
            <w:r>
              <w:rPr>
                <w:rFonts w:hint="eastAsia" w:ascii="宋体" w:hAnsi="宋体" w:eastAsia="宋体" w:cs="宋体"/>
                <w:sz w:val="24"/>
                <w:szCs w:val="24"/>
                <w:highlight w:val="none"/>
                <w:lang w:val="en-US" w:eastAsia="zh-CN"/>
              </w:rPr>
              <w:t>4</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5</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20</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标注“▲”符号的参数负偏离≥2项，则按实质性偏离招标文件要求处理，其投标无效</w:t>
            </w:r>
            <w:r>
              <w:rPr>
                <w:rFonts w:hint="eastAsia" w:ascii="宋体" w:hAnsi="宋体" w:eastAsia="宋体" w:cs="宋体"/>
                <w:sz w:val="24"/>
                <w:szCs w:val="24"/>
                <w:highlight w:val="none"/>
                <w:lang w:eastAsia="zh-CN"/>
              </w:rPr>
              <w:t>；④</w:t>
            </w:r>
            <w:r>
              <w:rPr>
                <w:rFonts w:hint="eastAsia" w:ascii="宋体" w:hAnsi="宋体" w:eastAsia="宋体" w:cs="宋体"/>
                <w:sz w:val="24"/>
                <w:szCs w:val="24"/>
                <w:highlight w:val="none"/>
                <w:lang w:val="en-US" w:eastAsia="zh-CN"/>
              </w:rPr>
              <w:t>未标注符号的技术参数（评审指标1-评审指标16）</w:t>
            </w:r>
            <w:r>
              <w:rPr>
                <w:rFonts w:ascii="宋体" w:hAnsi="宋体" w:eastAsia="宋体" w:cs="宋体"/>
                <w:sz w:val="24"/>
                <w:szCs w:val="24"/>
                <w:highlight w:val="none"/>
              </w:rPr>
              <w:t>每负偏离一项扣</w:t>
            </w:r>
            <w:r>
              <w:rPr>
                <w:rFonts w:hint="eastAsia" w:ascii="宋体" w:hAnsi="宋体" w:eastAsia="宋体" w:cs="宋体"/>
                <w:sz w:val="24"/>
                <w:szCs w:val="24"/>
                <w:highlight w:val="none"/>
                <w:lang w:val="en-US" w:eastAsia="zh-CN"/>
              </w:rPr>
              <w:t>2.5</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16</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40</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正偏离不加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bl>
    <w:p w14:paraId="252D317A">
      <w:pPr>
        <w:pStyle w:val="14"/>
        <w:spacing w:line="360" w:lineRule="auto"/>
        <w:jc w:val="both"/>
        <w:rPr>
          <w:rFonts w:hint="default" w:ascii="宋体" w:hAnsi="宋体" w:eastAsia="宋体" w:cs="宋体"/>
          <w:sz w:val="24"/>
          <w:szCs w:val="24"/>
        </w:rPr>
      </w:pPr>
      <w:r>
        <w:rPr>
          <w:rFonts w:ascii="宋体" w:hAnsi="宋体" w:eastAsia="宋体" w:cs="宋体"/>
          <w:sz w:val="24"/>
          <w:szCs w:val="24"/>
        </w:rPr>
        <w:t>商务项（F3×A3）满分为10.0000分</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938"/>
        <w:gridCol w:w="7166"/>
      </w:tblGrid>
      <w:tr w14:paraId="22D4F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tcPr>
          <w:p w14:paraId="5F2560E6">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38" w:type="dxa"/>
          </w:tcPr>
          <w:p w14:paraId="0B80DDA7">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66" w:type="dxa"/>
          </w:tcPr>
          <w:p w14:paraId="0F0F6D00">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3CEC88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1E7ABDF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1、业绩</w:t>
            </w:r>
          </w:p>
        </w:tc>
        <w:tc>
          <w:tcPr>
            <w:tcW w:w="938" w:type="dxa"/>
            <w:vAlign w:val="center"/>
          </w:tcPr>
          <w:p w14:paraId="3B3E916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55BC1794">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根据各投标人提供自2021年1月1日起至本项目投标截止时间止(日期以合同签订时间为准) 由投标人所完成的同类业绩情况进行评分，每提供1份完整合格的业绩项目的得1分, 累计最高得3分。注：投标人须同时提供中标（成交）公告(提供相关网站中标（成交）公告的下载网页并注明网址)、中标（成交）通知书复印件、采购合同文本复印件，以及能够证明该业绩项目已经采购人验收合格的相关证明文件复印件(原件备查)，未同时提供以上证明材料的本项不得分。</w:t>
            </w:r>
          </w:p>
        </w:tc>
      </w:tr>
      <w:tr w14:paraId="416560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3409A1F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2、技术培训方案</w:t>
            </w:r>
          </w:p>
        </w:tc>
        <w:tc>
          <w:tcPr>
            <w:tcW w:w="938" w:type="dxa"/>
            <w:vAlign w:val="center"/>
          </w:tcPr>
          <w:p w14:paraId="45A8BC7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6C7953D7">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5EA0D5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19D79F0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3、售后服务方案</w:t>
            </w:r>
          </w:p>
        </w:tc>
        <w:tc>
          <w:tcPr>
            <w:tcW w:w="938" w:type="dxa"/>
            <w:vAlign w:val="center"/>
          </w:tcPr>
          <w:p w14:paraId="223D2A6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5D722102">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31949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1C17011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4、质保期</w:t>
            </w:r>
          </w:p>
        </w:tc>
        <w:tc>
          <w:tcPr>
            <w:tcW w:w="938" w:type="dxa"/>
            <w:vAlign w:val="center"/>
          </w:tcPr>
          <w:p w14:paraId="78CF10D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6CBA894D">
            <w:pPr>
              <w:pStyle w:val="14"/>
              <w:spacing w:line="360" w:lineRule="auto"/>
              <w:jc w:val="both"/>
              <w:rPr>
                <w:rFonts w:hint="default" w:ascii="宋体" w:hAnsi="宋体" w:eastAsia="宋体" w:cs="宋体"/>
                <w:sz w:val="24"/>
                <w:szCs w:val="24"/>
              </w:rPr>
            </w:pPr>
            <w:r>
              <w:rPr>
                <w:rFonts w:ascii="宋体" w:hAnsi="宋体" w:eastAsia="宋体" w:cs="宋体"/>
                <w:sz w:val="24"/>
                <w:szCs w:val="24"/>
              </w:rPr>
              <w:t>据各投标人提供的质保期时间承诺情况进行评分，满足招标文件要求的不得分，在不增加费用的情况下，每增加1年加1分，满分3分，其余不得分。（投标人须提供承诺函，格式自拟）</w:t>
            </w:r>
          </w:p>
        </w:tc>
      </w:tr>
    </w:tbl>
    <w:p w14:paraId="6CB456B2">
      <w:pPr>
        <w:pStyle w:val="14"/>
        <w:spacing w:line="360" w:lineRule="auto"/>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4C5BB184">
      <w:pPr>
        <w:pStyle w:val="14"/>
        <w:spacing w:line="360" w:lineRule="auto"/>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2C7BA414">
      <w:pPr>
        <w:pStyle w:val="14"/>
        <w:spacing w:line="360" w:lineRule="auto"/>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0D85CE6F">
      <w:pPr>
        <w:pStyle w:val="14"/>
        <w:spacing w:line="360" w:lineRule="auto"/>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2EF25537">
      <w:pPr>
        <w:pStyle w:val="14"/>
        <w:spacing w:line="360" w:lineRule="auto"/>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5E1F58B5">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rPr>
        <w:t>采购包</w:t>
      </w:r>
      <w:r>
        <w:rPr>
          <w:rFonts w:ascii="宋体" w:hAnsi="宋体" w:eastAsia="宋体" w:cs="宋体"/>
          <w:b/>
          <w:bCs/>
          <w:sz w:val="24"/>
          <w:szCs w:val="24"/>
          <w:lang w:eastAsia="zh-CN"/>
        </w:rPr>
        <w:t>4</w:t>
      </w:r>
      <w:r>
        <w:rPr>
          <w:rFonts w:ascii="宋体" w:hAnsi="宋体" w:eastAsia="宋体" w:cs="宋体"/>
          <w:b/>
          <w:bCs/>
          <w:sz w:val="24"/>
          <w:szCs w:val="24"/>
        </w:rPr>
        <w:t>：综合评分法</w:t>
      </w:r>
    </w:p>
    <w:p w14:paraId="3C8DF62B">
      <w:pPr>
        <w:pStyle w:val="14"/>
        <w:spacing w:line="360" w:lineRule="auto"/>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5D928749">
      <w:pPr>
        <w:pStyle w:val="14"/>
        <w:spacing w:line="360" w:lineRule="auto"/>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1D51AA4A">
      <w:pPr>
        <w:pStyle w:val="14"/>
        <w:spacing w:line="360" w:lineRule="auto"/>
        <w:jc w:val="both"/>
        <w:rPr>
          <w:rFonts w:hint="default" w:ascii="宋体" w:hAnsi="宋体" w:eastAsia="宋体" w:cs="宋体"/>
          <w:sz w:val="24"/>
          <w:szCs w:val="24"/>
        </w:rPr>
      </w:pPr>
      <w:r>
        <w:rPr>
          <w:rFonts w:ascii="宋体" w:hAnsi="宋体" w:eastAsia="宋体" w:cs="宋体"/>
          <w:sz w:val="24"/>
          <w:szCs w:val="24"/>
        </w:rPr>
        <w:t>各项评审因素的设置如下：</w:t>
      </w:r>
    </w:p>
    <w:p w14:paraId="505EE510">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价格项（F1×A1）满分为30.0000分</w:t>
      </w:r>
    </w:p>
    <w:p w14:paraId="7F5EB519">
      <w:pPr>
        <w:pStyle w:val="14"/>
        <w:spacing w:line="360" w:lineRule="auto"/>
        <w:jc w:val="both"/>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6E6EE386">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1146"/>
        <w:gridCol w:w="954"/>
        <w:gridCol w:w="6218"/>
      </w:tblGrid>
      <w:tr w14:paraId="45072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097BCE6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项目</w:t>
            </w:r>
          </w:p>
        </w:tc>
        <w:tc>
          <w:tcPr>
            <w:tcW w:w="1146" w:type="dxa"/>
            <w:vAlign w:val="center"/>
          </w:tcPr>
          <w:p w14:paraId="19DB1F9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适用对象</w:t>
            </w:r>
          </w:p>
        </w:tc>
        <w:tc>
          <w:tcPr>
            <w:tcW w:w="954" w:type="dxa"/>
            <w:vAlign w:val="center"/>
          </w:tcPr>
          <w:p w14:paraId="33ADF18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比例</w:t>
            </w:r>
          </w:p>
        </w:tc>
        <w:tc>
          <w:tcPr>
            <w:tcW w:w="6218" w:type="dxa"/>
            <w:vAlign w:val="center"/>
          </w:tcPr>
          <w:p w14:paraId="38271A3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描述</w:t>
            </w:r>
          </w:p>
        </w:tc>
      </w:tr>
      <w:tr w14:paraId="47FE5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6EEB148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小型、微型企业，监狱企业，残疾人福利性单位</w:t>
            </w:r>
          </w:p>
        </w:tc>
        <w:tc>
          <w:tcPr>
            <w:tcW w:w="1146" w:type="dxa"/>
            <w:vAlign w:val="center"/>
          </w:tcPr>
          <w:p w14:paraId="05F044D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投标人或者联合体均为小型、微型企业</w:t>
            </w:r>
          </w:p>
        </w:tc>
        <w:tc>
          <w:tcPr>
            <w:tcW w:w="954" w:type="dxa"/>
            <w:vAlign w:val="center"/>
          </w:tcPr>
          <w:p w14:paraId="6D983E0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15.00%</w:t>
            </w:r>
          </w:p>
        </w:tc>
        <w:tc>
          <w:tcPr>
            <w:tcW w:w="6218" w:type="dxa"/>
            <w:vAlign w:val="center"/>
          </w:tcPr>
          <w:p w14:paraId="30C6E118">
            <w:pPr>
              <w:pStyle w:val="14"/>
              <w:spacing w:line="360" w:lineRule="auto"/>
              <w:jc w:val="both"/>
              <w:rPr>
                <w:rFonts w:hint="default" w:ascii="宋体" w:hAnsi="宋体" w:eastAsia="宋体" w:cs="宋体"/>
                <w:sz w:val="24"/>
                <w:szCs w:val="24"/>
              </w:rPr>
            </w:pPr>
            <w:r>
              <w:rPr>
                <w:rFonts w:ascii="宋体" w:hAnsi="宋体" w:eastAsia="宋体" w:cs="宋体"/>
                <w:sz w:val="24"/>
                <w:szCs w:val="24"/>
              </w:rPr>
              <w:t>本</w:t>
            </w:r>
            <w:r>
              <w:rPr>
                <w:rFonts w:ascii="宋体" w:hAnsi="宋体" w:eastAsia="宋体" w:cs="宋体"/>
                <w:sz w:val="24"/>
                <w:szCs w:val="24"/>
                <w:lang w:eastAsia="zh-CN"/>
              </w:rPr>
              <w:t>采购包</w:t>
            </w:r>
            <w:r>
              <w:rPr>
                <w:rFonts w:ascii="宋体" w:hAnsi="宋体" w:eastAsia="宋体" w:cs="宋体"/>
                <w:sz w:val="24"/>
                <w:szCs w:val="24"/>
              </w:rPr>
              <w:t>为</w:t>
            </w:r>
            <w:r>
              <w:rPr>
                <w:rFonts w:ascii="宋体" w:hAnsi="宋体" w:eastAsia="宋体" w:cs="宋体"/>
                <w:sz w:val="24"/>
                <w:szCs w:val="24"/>
                <w:lang w:eastAsia="zh-CN"/>
              </w:rPr>
              <w:t>非</w:t>
            </w:r>
            <w:r>
              <w:rPr>
                <w:rFonts w:ascii="宋体" w:hAnsi="宋体" w:eastAsia="宋体" w:cs="宋体"/>
                <w:sz w:val="24"/>
                <w:szCs w:val="24"/>
              </w:rPr>
              <w:t>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6811A8A4">
      <w:pPr>
        <w:pStyle w:val="14"/>
        <w:spacing w:line="360" w:lineRule="auto"/>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7354"/>
      </w:tblGrid>
      <w:tr w14:paraId="53B976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5551EF57">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000" w:type="dxa"/>
          </w:tcPr>
          <w:p w14:paraId="2E52A4E4">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7354" w:type="dxa"/>
          </w:tcPr>
          <w:p w14:paraId="6F5A24B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方法</w:t>
            </w:r>
          </w:p>
        </w:tc>
      </w:tr>
      <w:tr w14:paraId="5BAB1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9FA6C73">
            <w:pPr>
              <w:pStyle w:val="14"/>
              <w:spacing w:line="360" w:lineRule="auto"/>
              <w:jc w:val="both"/>
              <w:rPr>
                <w:rFonts w:hint="default" w:ascii="宋体" w:hAnsi="宋体" w:eastAsia="宋体" w:cs="宋体"/>
                <w:sz w:val="24"/>
                <w:szCs w:val="24"/>
              </w:rPr>
            </w:pPr>
            <w:r>
              <w:rPr>
                <w:rFonts w:ascii="宋体" w:hAnsi="宋体" w:eastAsia="宋体" w:cs="宋体"/>
                <w:sz w:val="24"/>
                <w:szCs w:val="24"/>
              </w:rPr>
              <w:t>节能、环境标志产品</w:t>
            </w:r>
          </w:p>
        </w:tc>
        <w:tc>
          <w:tcPr>
            <w:tcW w:w="1000" w:type="dxa"/>
          </w:tcPr>
          <w:p w14:paraId="479C3A50">
            <w:pPr>
              <w:pStyle w:val="14"/>
              <w:spacing w:line="360" w:lineRule="auto"/>
              <w:jc w:val="right"/>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eastAsia="zh-CN"/>
              </w:rPr>
              <w:t>.00</w:t>
            </w:r>
            <w:r>
              <w:rPr>
                <w:rFonts w:ascii="宋体" w:hAnsi="宋体" w:eastAsia="宋体" w:cs="宋体"/>
                <w:sz w:val="24"/>
                <w:szCs w:val="24"/>
              </w:rPr>
              <w:t>%</w:t>
            </w:r>
          </w:p>
        </w:tc>
        <w:tc>
          <w:tcPr>
            <w:tcW w:w="7354" w:type="dxa"/>
          </w:tcPr>
          <w:p w14:paraId="58932B49">
            <w:pPr>
              <w:pStyle w:val="14"/>
              <w:spacing w:line="360" w:lineRule="auto"/>
              <w:jc w:val="both"/>
              <w:rPr>
                <w:rFonts w:hint="default" w:ascii="宋体" w:hAnsi="宋体" w:eastAsia="宋体" w:cs="宋体"/>
                <w:sz w:val="24"/>
                <w:szCs w:val="24"/>
              </w:rPr>
            </w:pPr>
            <w:r>
              <w:rPr>
                <w:rFonts w:ascii="宋体" w:hAnsi="宋体" w:eastAsia="宋体" w:cs="宋体"/>
                <w:sz w:val="24"/>
                <w:szCs w:val="24"/>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6D86EF0B">
      <w:pPr>
        <w:pStyle w:val="14"/>
        <w:spacing w:line="360" w:lineRule="auto"/>
        <w:jc w:val="both"/>
        <w:rPr>
          <w:rFonts w:hint="default" w:ascii="宋体" w:hAnsi="宋体" w:eastAsia="宋体" w:cs="宋体"/>
          <w:sz w:val="24"/>
          <w:szCs w:val="24"/>
        </w:rPr>
      </w:pPr>
      <w:r>
        <w:rPr>
          <w:rFonts w:ascii="宋体" w:hAnsi="宋体" w:eastAsia="宋体" w:cs="宋体"/>
          <w:sz w:val="24"/>
          <w:szCs w:val="24"/>
        </w:rPr>
        <w:t>其他：无</w:t>
      </w:r>
    </w:p>
    <w:p w14:paraId="157D2DBE">
      <w:pPr>
        <w:pStyle w:val="14"/>
        <w:spacing w:line="360" w:lineRule="auto"/>
        <w:jc w:val="both"/>
        <w:rPr>
          <w:rFonts w:hint="default" w:ascii="宋体" w:hAnsi="宋体" w:eastAsia="宋体" w:cs="宋体"/>
          <w:sz w:val="24"/>
          <w:szCs w:val="24"/>
        </w:rPr>
      </w:pPr>
      <w:r>
        <w:rPr>
          <w:rFonts w:ascii="宋体" w:hAnsi="宋体" w:eastAsia="宋体" w:cs="宋体"/>
          <w:sz w:val="24"/>
          <w:szCs w:val="24"/>
        </w:rPr>
        <w:t>技术项（F2×A2）满分为60.0000分</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8"/>
        <w:gridCol w:w="925"/>
        <w:gridCol w:w="7152"/>
      </w:tblGrid>
      <w:tr w14:paraId="1FBA2B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tcPr>
          <w:p w14:paraId="16E1447C">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25" w:type="dxa"/>
          </w:tcPr>
          <w:p w14:paraId="3595331D">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52" w:type="dxa"/>
          </w:tcPr>
          <w:p w14:paraId="46F00E3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64EFD9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vAlign w:val="center"/>
          </w:tcPr>
          <w:p w14:paraId="3A010D0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1、技术指标响应情况</w:t>
            </w:r>
          </w:p>
        </w:tc>
        <w:tc>
          <w:tcPr>
            <w:tcW w:w="925" w:type="dxa"/>
            <w:vAlign w:val="center"/>
          </w:tcPr>
          <w:p w14:paraId="1A974C5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60.00</w:t>
            </w:r>
          </w:p>
        </w:tc>
        <w:tc>
          <w:tcPr>
            <w:tcW w:w="7152" w:type="dxa"/>
          </w:tcPr>
          <w:p w14:paraId="1FE0363F">
            <w:pPr>
              <w:pStyle w:val="14"/>
              <w:spacing w:line="360" w:lineRule="auto"/>
              <w:jc w:val="both"/>
              <w:rPr>
                <w:rFonts w:hint="default" w:ascii="宋体" w:hAnsi="宋体" w:eastAsia="宋体" w:cs="宋体"/>
                <w:sz w:val="24"/>
                <w:szCs w:val="24"/>
              </w:rPr>
            </w:pPr>
            <w:r>
              <w:rPr>
                <w:rFonts w:ascii="宋体" w:hAnsi="宋体" w:eastAsia="宋体" w:cs="宋体"/>
                <w:sz w:val="24"/>
                <w:szCs w:val="24"/>
                <w:highlight w:val="none"/>
              </w:rPr>
              <w:t>根据投标人所投设备对《第五章招标内容及要求》“二、技术服务要求”中技术参数的响应、承诺情况，由评委进行评议并评分：①完全满足招标文件技术参数要求的得60分；②标注“★”符号的技术参数（共</w:t>
            </w:r>
            <w:r>
              <w:rPr>
                <w:rFonts w:hint="eastAsia" w:ascii="宋体" w:hAnsi="宋体" w:eastAsia="宋体" w:cs="宋体"/>
                <w:sz w:val="24"/>
                <w:szCs w:val="24"/>
                <w:highlight w:val="none"/>
                <w:lang w:val="en-US" w:eastAsia="zh-CN"/>
              </w:rPr>
              <w:t>8</w:t>
            </w:r>
            <w:r>
              <w:rPr>
                <w:rFonts w:ascii="宋体" w:hAnsi="宋体" w:eastAsia="宋体" w:cs="宋体"/>
                <w:sz w:val="24"/>
                <w:szCs w:val="24"/>
                <w:highlight w:val="none"/>
              </w:rPr>
              <w:t>项）出现负偏离将导致投标无效；③标注“▲”符号的技术参数每负偏离一项扣</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17</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34</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标注“▲”符号的参数负偏离≥2项，则按实质性偏离招标文件要求处理，其投标无效</w:t>
            </w:r>
            <w:r>
              <w:rPr>
                <w:rFonts w:hint="eastAsia" w:ascii="宋体" w:hAnsi="宋体" w:eastAsia="宋体" w:cs="宋体"/>
                <w:sz w:val="24"/>
                <w:szCs w:val="24"/>
                <w:highlight w:val="none"/>
                <w:lang w:eastAsia="zh-CN"/>
              </w:rPr>
              <w:t>；④</w:t>
            </w:r>
            <w:r>
              <w:rPr>
                <w:rFonts w:hint="eastAsia" w:ascii="宋体" w:hAnsi="宋体" w:eastAsia="宋体" w:cs="宋体"/>
                <w:sz w:val="24"/>
                <w:szCs w:val="24"/>
                <w:highlight w:val="none"/>
                <w:lang w:val="en-US" w:eastAsia="zh-CN"/>
              </w:rPr>
              <w:t>未标注符号的技术参数（评审指标1-评审指标40）</w:t>
            </w:r>
            <w:r>
              <w:rPr>
                <w:rFonts w:ascii="宋体" w:hAnsi="宋体" w:eastAsia="宋体" w:cs="宋体"/>
                <w:sz w:val="24"/>
                <w:szCs w:val="24"/>
                <w:highlight w:val="none"/>
              </w:rPr>
              <w:t>每负偏离一项扣</w:t>
            </w:r>
            <w:r>
              <w:rPr>
                <w:rFonts w:hint="eastAsia" w:ascii="宋体" w:hAnsi="宋体" w:eastAsia="宋体" w:cs="宋体"/>
                <w:sz w:val="24"/>
                <w:szCs w:val="24"/>
                <w:highlight w:val="none"/>
                <w:lang w:val="en-US" w:eastAsia="zh-CN"/>
              </w:rPr>
              <w:t>0.65</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40</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26</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正偏离不加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bl>
    <w:p w14:paraId="73B4870A">
      <w:pPr>
        <w:pStyle w:val="14"/>
        <w:spacing w:line="360" w:lineRule="auto"/>
        <w:jc w:val="both"/>
        <w:rPr>
          <w:rFonts w:hint="default" w:ascii="宋体" w:hAnsi="宋体" w:eastAsia="宋体" w:cs="宋体"/>
          <w:sz w:val="24"/>
          <w:szCs w:val="24"/>
        </w:rPr>
      </w:pPr>
      <w:r>
        <w:rPr>
          <w:rFonts w:ascii="宋体" w:hAnsi="宋体" w:eastAsia="宋体" w:cs="宋体"/>
          <w:sz w:val="24"/>
          <w:szCs w:val="24"/>
        </w:rPr>
        <w:t>商务项（F3×A3）满分为10.0000分</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938"/>
        <w:gridCol w:w="7166"/>
      </w:tblGrid>
      <w:tr w14:paraId="173F4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tcPr>
          <w:p w14:paraId="6E68A1DE">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38" w:type="dxa"/>
          </w:tcPr>
          <w:p w14:paraId="73EB660B">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66" w:type="dxa"/>
          </w:tcPr>
          <w:p w14:paraId="4785E063">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21B4EE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260FA0E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1、业绩</w:t>
            </w:r>
          </w:p>
        </w:tc>
        <w:tc>
          <w:tcPr>
            <w:tcW w:w="938" w:type="dxa"/>
            <w:vAlign w:val="center"/>
          </w:tcPr>
          <w:p w14:paraId="21ACD26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7DA530EF">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根据各投标人提供自2021年1月1日起至本项目投标截止时间止(日期以合同签订时间为准) 由投标人所完成的同类业绩情况进行评分，每提供1份完整合格的业绩项目的得1分, 累计最高得3分。注：投标人须同时提供中标（成交）公告(提供相关网站中标（成交）公告的下载网页并注明网址)、中标（成交）通知书复印件、采购合同文本复印件，以及能够证明该业绩项目已经采购人验收合格的相关证明文件复印件(原件备查)，未同时提供以上证明材料的本项不得分。</w:t>
            </w:r>
          </w:p>
        </w:tc>
      </w:tr>
      <w:tr w14:paraId="0D3B4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7C60A0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2、技术培训方案</w:t>
            </w:r>
          </w:p>
        </w:tc>
        <w:tc>
          <w:tcPr>
            <w:tcW w:w="938" w:type="dxa"/>
            <w:vAlign w:val="center"/>
          </w:tcPr>
          <w:p w14:paraId="5A01271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79C7BDC4">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3B97DC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1CDCBBE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3、售后服务方案</w:t>
            </w:r>
          </w:p>
        </w:tc>
        <w:tc>
          <w:tcPr>
            <w:tcW w:w="938" w:type="dxa"/>
            <w:vAlign w:val="center"/>
          </w:tcPr>
          <w:p w14:paraId="1E794F2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5C11524D">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7053F8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709AB94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4、质保期</w:t>
            </w:r>
          </w:p>
        </w:tc>
        <w:tc>
          <w:tcPr>
            <w:tcW w:w="938" w:type="dxa"/>
            <w:vAlign w:val="center"/>
          </w:tcPr>
          <w:p w14:paraId="66F5E78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44AE10F2">
            <w:pPr>
              <w:pStyle w:val="14"/>
              <w:spacing w:line="360" w:lineRule="auto"/>
              <w:jc w:val="both"/>
              <w:rPr>
                <w:rFonts w:hint="default" w:ascii="宋体" w:hAnsi="宋体" w:eastAsia="宋体" w:cs="宋体"/>
                <w:sz w:val="24"/>
                <w:szCs w:val="24"/>
              </w:rPr>
            </w:pPr>
            <w:r>
              <w:rPr>
                <w:rFonts w:ascii="宋体" w:hAnsi="宋体" w:eastAsia="宋体" w:cs="宋体"/>
                <w:sz w:val="24"/>
                <w:szCs w:val="24"/>
              </w:rPr>
              <w:t>据各投标人提供的质保期时间承诺情况进行评分，满足招标文件要求的不得分，在不增加费用的情况下，每增加1年加1分，满分3分，其余不得分。（投标人须提供承诺函，格式自拟）</w:t>
            </w:r>
          </w:p>
        </w:tc>
      </w:tr>
    </w:tbl>
    <w:p w14:paraId="4B01E48D">
      <w:pPr>
        <w:pStyle w:val="14"/>
        <w:spacing w:line="360" w:lineRule="auto"/>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5E19402E">
      <w:pPr>
        <w:pStyle w:val="14"/>
        <w:spacing w:line="360" w:lineRule="auto"/>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708F1885">
      <w:pPr>
        <w:pStyle w:val="14"/>
        <w:spacing w:line="360" w:lineRule="auto"/>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6B44E46C">
      <w:pPr>
        <w:pStyle w:val="14"/>
        <w:spacing w:line="360" w:lineRule="auto"/>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095152D8">
      <w:pPr>
        <w:pStyle w:val="14"/>
        <w:spacing w:line="360" w:lineRule="auto"/>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3A93C10E">
      <w:pPr>
        <w:pStyle w:val="14"/>
        <w:spacing w:line="360" w:lineRule="auto"/>
        <w:jc w:val="both"/>
        <w:rPr>
          <w:rFonts w:hint="default" w:ascii="宋体" w:hAnsi="宋体" w:eastAsia="宋体" w:cs="宋体"/>
          <w:b/>
          <w:bCs/>
          <w:sz w:val="24"/>
          <w:szCs w:val="24"/>
        </w:rPr>
      </w:pPr>
    </w:p>
    <w:p w14:paraId="346EE53C">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rPr>
        <w:t>采购包</w:t>
      </w:r>
      <w:r>
        <w:rPr>
          <w:rFonts w:ascii="宋体" w:hAnsi="宋体" w:eastAsia="宋体" w:cs="宋体"/>
          <w:b/>
          <w:bCs/>
          <w:sz w:val="24"/>
          <w:szCs w:val="24"/>
          <w:lang w:eastAsia="zh-CN"/>
        </w:rPr>
        <w:t>5</w:t>
      </w:r>
      <w:r>
        <w:rPr>
          <w:rFonts w:ascii="宋体" w:hAnsi="宋体" w:eastAsia="宋体" w:cs="宋体"/>
          <w:b/>
          <w:bCs/>
          <w:sz w:val="24"/>
          <w:szCs w:val="24"/>
        </w:rPr>
        <w:t>：综合评分法</w:t>
      </w:r>
    </w:p>
    <w:p w14:paraId="3EEDEB90">
      <w:pPr>
        <w:pStyle w:val="14"/>
        <w:spacing w:line="360" w:lineRule="auto"/>
        <w:jc w:val="both"/>
        <w:rPr>
          <w:rFonts w:hint="default" w:ascii="宋体" w:hAnsi="宋体" w:eastAsia="宋体" w:cs="宋体"/>
          <w:sz w:val="24"/>
          <w:szCs w:val="24"/>
        </w:rPr>
      </w:pPr>
      <w:r>
        <w:rPr>
          <w:rFonts w:ascii="宋体" w:hAnsi="宋体" w:eastAsia="宋体" w:cs="宋体"/>
          <w:sz w:val="24"/>
          <w:szCs w:val="24"/>
        </w:rPr>
        <w:t>（1）投标文件满足招标文件全部实质性要求，且按照评审因素的量化指标评审得分（即评标总得分）最高的投标人为中标候选人。</w:t>
      </w:r>
    </w:p>
    <w:p w14:paraId="50B805B4">
      <w:pPr>
        <w:pStyle w:val="14"/>
        <w:spacing w:line="360" w:lineRule="auto"/>
        <w:jc w:val="both"/>
        <w:rPr>
          <w:rFonts w:hint="default" w:ascii="宋体" w:hAnsi="宋体" w:eastAsia="宋体" w:cs="宋体"/>
          <w:sz w:val="24"/>
          <w:szCs w:val="24"/>
        </w:rPr>
      </w:pPr>
      <w:r>
        <w:rPr>
          <w:rFonts w:ascii="宋体" w:hAnsi="宋体" w:eastAsia="宋体" w:cs="宋体"/>
          <w:sz w:val="24"/>
          <w:szCs w:val="24"/>
        </w:rP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7D25C8C8">
      <w:pPr>
        <w:pStyle w:val="14"/>
        <w:spacing w:line="360" w:lineRule="auto"/>
        <w:jc w:val="both"/>
        <w:rPr>
          <w:rFonts w:hint="default" w:ascii="宋体" w:hAnsi="宋体" w:eastAsia="宋体" w:cs="宋体"/>
          <w:sz w:val="24"/>
          <w:szCs w:val="24"/>
        </w:rPr>
      </w:pPr>
      <w:r>
        <w:rPr>
          <w:rFonts w:ascii="宋体" w:hAnsi="宋体" w:eastAsia="宋体" w:cs="宋体"/>
          <w:sz w:val="24"/>
          <w:szCs w:val="24"/>
        </w:rPr>
        <w:t>各项评审因素的设置如下：</w:t>
      </w:r>
    </w:p>
    <w:p w14:paraId="280AB393">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价格项（F1×A1）满分为30.0000分</w:t>
      </w:r>
    </w:p>
    <w:p w14:paraId="0FEE12FD">
      <w:pPr>
        <w:pStyle w:val="14"/>
        <w:spacing w:line="360" w:lineRule="auto"/>
        <w:jc w:val="both"/>
        <w:rPr>
          <w:rFonts w:hint="default" w:ascii="宋体" w:hAnsi="宋体" w:eastAsia="宋体" w:cs="宋体"/>
          <w:sz w:val="24"/>
          <w:szCs w:val="24"/>
        </w:rPr>
      </w:pPr>
      <w:r>
        <w:rPr>
          <w:rFonts w:ascii="宋体" w:hAnsi="宋体" w:eastAsia="宋体" w:cs="宋体"/>
          <w:sz w:val="24"/>
          <w:szCs w:val="24"/>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10C6261C">
      <w:pPr>
        <w:pStyle w:val="14"/>
        <w:spacing w:line="360" w:lineRule="auto"/>
        <w:jc w:val="both"/>
        <w:rPr>
          <w:rFonts w:hint="default" w:ascii="宋体" w:hAnsi="宋体" w:eastAsia="宋体" w:cs="宋体"/>
          <w:sz w:val="24"/>
          <w:szCs w:val="24"/>
        </w:rPr>
      </w:pPr>
      <w:r>
        <w:rPr>
          <w:rFonts w:ascii="宋体" w:hAnsi="宋体" w:eastAsia="宋体" w:cs="宋体"/>
          <w:sz w:val="24"/>
          <w:szCs w:val="24"/>
        </w:rPr>
        <w:t>价格扣除的规则如下：</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77"/>
        <w:gridCol w:w="1146"/>
        <w:gridCol w:w="954"/>
        <w:gridCol w:w="6218"/>
      </w:tblGrid>
      <w:tr w14:paraId="08663C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5F7FDCB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项目</w:t>
            </w:r>
          </w:p>
        </w:tc>
        <w:tc>
          <w:tcPr>
            <w:tcW w:w="1146" w:type="dxa"/>
            <w:vAlign w:val="center"/>
          </w:tcPr>
          <w:p w14:paraId="3F2AC34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适用对象</w:t>
            </w:r>
          </w:p>
        </w:tc>
        <w:tc>
          <w:tcPr>
            <w:tcW w:w="954" w:type="dxa"/>
            <w:vAlign w:val="center"/>
          </w:tcPr>
          <w:p w14:paraId="09CC643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比例</w:t>
            </w:r>
          </w:p>
        </w:tc>
        <w:tc>
          <w:tcPr>
            <w:tcW w:w="6218" w:type="dxa"/>
            <w:vAlign w:val="center"/>
          </w:tcPr>
          <w:p w14:paraId="5C25B68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描述</w:t>
            </w:r>
          </w:p>
        </w:tc>
      </w:tr>
      <w:tr w14:paraId="7A03B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77" w:type="dxa"/>
            <w:vAlign w:val="center"/>
          </w:tcPr>
          <w:p w14:paraId="08C45C9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小型、微型企业，监狱企业，残疾人福利性单位</w:t>
            </w:r>
          </w:p>
        </w:tc>
        <w:tc>
          <w:tcPr>
            <w:tcW w:w="1146" w:type="dxa"/>
            <w:vAlign w:val="center"/>
          </w:tcPr>
          <w:p w14:paraId="2C78FC4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投标人或者联合体均为小型、微型企业</w:t>
            </w:r>
          </w:p>
        </w:tc>
        <w:tc>
          <w:tcPr>
            <w:tcW w:w="954" w:type="dxa"/>
            <w:vAlign w:val="center"/>
          </w:tcPr>
          <w:p w14:paraId="3BB3E5A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15.00%</w:t>
            </w:r>
          </w:p>
        </w:tc>
        <w:tc>
          <w:tcPr>
            <w:tcW w:w="6218" w:type="dxa"/>
            <w:vAlign w:val="center"/>
          </w:tcPr>
          <w:p w14:paraId="3F9632A6">
            <w:pPr>
              <w:pStyle w:val="14"/>
              <w:spacing w:line="360" w:lineRule="auto"/>
              <w:jc w:val="both"/>
              <w:rPr>
                <w:rFonts w:hint="default" w:ascii="宋体" w:hAnsi="宋体" w:eastAsia="宋体" w:cs="宋体"/>
                <w:sz w:val="24"/>
                <w:szCs w:val="24"/>
              </w:rPr>
            </w:pPr>
            <w:r>
              <w:rPr>
                <w:rFonts w:ascii="宋体" w:hAnsi="宋体" w:eastAsia="宋体" w:cs="宋体"/>
                <w:sz w:val="24"/>
                <w:szCs w:val="24"/>
              </w:rPr>
              <w:t>本</w:t>
            </w:r>
            <w:r>
              <w:rPr>
                <w:rFonts w:ascii="宋体" w:hAnsi="宋体" w:eastAsia="宋体" w:cs="宋体"/>
                <w:sz w:val="24"/>
                <w:szCs w:val="24"/>
                <w:lang w:eastAsia="zh-CN"/>
              </w:rPr>
              <w:t>采购包</w:t>
            </w:r>
            <w:r>
              <w:rPr>
                <w:rFonts w:ascii="宋体" w:hAnsi="宋体" w:eastAsia="宋体" w:cs="宋体"/>
                <w:sz w:val="24"/>
                <w:szCs w:val="24"/>
              </w:rPr>
              <w:t>为</w:t>
            </w:r>
            <w:r>
              <w:rPr>
                <w:rFonts w:ascii="宋体" w:hAnsi="宋体" w:eastAsia="宋体" w:cs="宋体"/>
                <w:sz w:val="24"/>
                <w:szCs w:val="24"/>
                <w:lang w:eastAsia="zh-CN"/>
              </w:rPr>
              <w:t>非</w:t>
            </w:r>
            <w:r>
              <w:rPr>
                <w:rFonts w:ascii="宋体" w:hAnsi="宋体" w:eastAsia="宋体" w:cs="宋体"/>
                <w:sz w:val="24"/>
                <w:szCs w:val="24"/>
              </w:rPr>
              <w:t>专门面向中小企业采购的货物类采购项目，本采购标的对应的中小企业划分标准所属行业为工业。 本项目执行的政府采购优惠政策如下：（一）《政府采购促进中小企业发展管理办法》（财库〔2020〕46号）、《关于进一步加大政府采购支持中小企业力度的通知》（财库〔2022〕19号）及《福建省财政厅关于进一步加大政府采购支持中小企业力度的通知》（闽财规〔2022〕13号）文中规定的价格扣除：在非专门面向中小企业的采购项目中，对符合该管理办法规定的小微企业报价给予相应的价格扣除（货物、服务类项目按15%扣除），用扣除后的价格参加评审。1、在货物采购项目中，货物应当由中小企业制造，不对其中涉及的服务的承接商作出要求；在服务采购项目中，服务的承接商应当为中小企业，不对其中涉及的货物的制造商作出要求。2、大型企业提供的所有采购标的均为小微企业制造的，可享受价格扣除；如果一个采购项目或采购包含有多个采购标的的，则每个采购标的均应由中小企业制造，否则不予价格扣除。3、参加政府采购活动的中小企业应当提供《中小企业声明函》(见本文件最后章节格式)；若投标人提供的《中小企业声明函》中填写的行业与招标文件中明确的采购标的对应的中小企业划分标准所属行业不一致，则不予认定为中小企业。（二）监狱企业优惠政策：根据财库【2014】68号文《关于政府采购支持监狱企业发展有关问题的通知》的规定，在政府采购活动中，监狱企业视同小型、微型企业，享受预留份额、评审中价格扣除等政府采购促进中小企业发展的政府采购政策。 监狱企业参加政府采购活动时，应当提供由省级以上监狱管理局、戒毒管理局(含新疆生产建设兵团)出具的属于监狱企业的证明文件，否则不予价格扣除。监狱企业属于小型、微型企业的，不重复享受政策。（三）残疾人福利性单位优惠政策：根据财库〔2017〕141号文《关于促进残疾人就业政府采购政策的通知》的规定，在政府采购活动中，残疾人福利性单位视同小型、微型企业，享受预留份额、评审中价格扣除等促进中小企业发展的政府采购政策。对于非专门面向中小企业的项目，对残疾人福利性单位产品价格给予15%的扣除；对残疾人福利性单位与其他组织组成联合体参与政府采购活动的，残疾人福利性单位的协议合同金额占总合同金额30%以上的，给予联合体合同金额5%的价格扣除。残疾人福利性单位参加政府采购活动时，应当提供《残疾人福利性单位声明函》并加单位公章(见本文件最后章节格式)。 残疾人福利性单位属于小型、微型企业的，不重复享受政策。 说明：采购代理机构将在中标、成交结果公告同时公告中标人提交的《中小企业声明函》或《残疾人福利性单位声明函》，接受社会监督。供应商应当对其出具的声明函的真实性负责，如内容不实的，属于提供虚假材料谋取中标、成交，其中标、成交无效，并依照《政府采购法》第七十七条第一款的规定追究法律责任。 在实际操作中，供应商希望获得《办法》规定政策支持的，应从制造商处获得充分、准确的信息。对相关制造商信息了解不充分，或者不能确定相关信息真实、准确的，不建议出具《中小企业声明函》。</w:t>
            </w:r>
          </w:p>
        </w:tc>
      </w:tr>
    </w:tbl>
    <w:p w14:paraId="1482D606">
      <w:pPr>
        <w:pStyle w:val="14"/>
        <w:spacing w:line="360" w:lineRule="auto"/>
        <w:jc w:val="both"/>
        <w:rPr>
          <w:rFonts w:hint="default" w:ascii="宋体" w:hAnsi="宋体" w:eastAsia="宋体" w:cs="宋体"/>
          <w:sz w:val="24"/>
          <w:szCs w:val="24"/>
        </w:rPr>
      </w:pPr>
      <w:r>
        <w:rPr>
          <w:rFonts w:ascii="宋体" w:hAnsi="宋体" w:eastAsia="宋体" w:cs="宋体"/>
          <w:sz w:val="24"/>
          <w:szCs w:val="24"/>
        </w:rPr>
        <w:t>优先类节能产品、环境标志产品的价格扣除规则如下</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5"/>
        <w:gridCol w:w="1000"/>
        <w:gridCol w:w="7354"/>
      </w:tblGrid>
      <w:tr w14:paraId="2AC7A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12DD443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1000" w:type="dxa"/>
          </w:tcPr>
          <w:p w14:paraId="7D8E3542">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比例</w:t>
            </w:r>
          </w:p>
        </w:tc>
        <w:tc>
          <w:tcPr>
            <w:tcW w:w="7354" w:type="dxa"/>
          </w:tcPr>
          <w:p w14:paraId="58653ECB">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方法</w:t>
            </w:r>
          </w:p>
        </w:tc>
      </w:tr>
      <w:tr w14:paraId="36B5EB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5" w:type="dxa"/>
          </w:tcPr>
          <w:p w14:paraId="7FF789B3">
            <w:pPr>
              <w:pStyle w:val="14"/>
              <w:spacing w:line="360" w:lineRule="auto"/>
              <w:jc w:val="both"/>
              <w:rPr>
                <w:rFonts w:hint="default" w:ascii="宋体" w:hAnsi="宋体" w:eastAsia="宋体" w:cs="宋体"/>
                <w:sz w:val="24"/>
                <w:szCs w:val="24"/>
              </w:rPr>
            </w:pPr>
            <w:r>
              <w:rPr>
                <w:rFonts w:ascii="宋体" w:hAnsi="宋体" w:eastAsia="宋体" w:cs="宋体"/>
                <w:sz w:val="24"/>
                <w:szCs w:val="24"/>
              </w:rPr>
              <w:t>节能、环境标志产品</w:t>
            </w:r>
          </w:p>
        </w:tc>
        <w:tc>
          <w:tcPr>
            <w:tcW w:w="1000" w:type="dxa"/>
          </w:tcPr>
          <w:p w14:paraId="33D87CA7">
            <w:pPr>
              <w:pStyle w:val="14"/>
              <w:spacing w:line="360" w:lineRule="auto"/>
              <w:jc w:val="right"/>
              <w:rPr>
                <w:rFonts w:hint="default" w:ascii="宋体" w:hAnsi="宋体" w:eastAsia="宋体" w:cs="宋体"/>
                <w:sz w:val="24"/>
                <w:szCs w:val="24"/>
              </w:rPr>
            </w:pPr>
            <w:r>
              <w:rPr>
                <w:rFonts w:ascii="宋体" w:hAnsi="宋体" w:eastAsia="宋体" w:cs="宋体"/>
                <w:sz w:val="24"/>
                <w:szCs w:val="24"/>
              </w:rPr>
              <w:t>10</w:t>
            </w:r>
            <w:r>
              <w:rPr>
                <w:rFonts w:ascii="宋体" w:hAnsi="宋体" w:eastAsia="宋体" w:cs="宋体"/>
                <w:sz w:val="24"/>
                <w:szCs w:val="24"/>
                <w:lang w:eastAsia="zh-CN"/>
              </w:rPr>
              <w:t>.00</w:t>
            </w:r>
            <w:r>
              <w:rPr>
                <w:rFonts w:ascii="宋体" w:hAnsi="宋体" w:eastAsia="宋体" w:cs="宋体"/>
                <w:sz w:val="24"/>
                <w:szCs w:val="24"/>
              </w:rPr>
              <w:t>%</w:t>
            </w:r>
          </w:p>
        </w:tc>
        <w:tc>
          <w:tcPr>
            <w:tcW w:w="7354" w:type="dxa"/>
          </w:tcPr>
          <w:p w14:paraId="7CBE5A68">
            <w:pPr>
              <w:pStyle w:val="14"/>
              <w:spacing w:line="360" w:lineRule="auto"/>
              <w:jc w:val="both"/>
              <w:rPr>
                <w:rFonts w:hint="default" w:ascii="宋体" w:hAnsi="宋体" w:eastAsia="宋体" w:cs="宋体"/>
                <w:sz w:val="24"/>
                <w:szCs w:val="24"/>
              </w:rPr>
            </w:pPr>
            <w:r>
              <w:rPr>
                <w:rFonts w:ascii="宋体" w:hAnsi="宋体" w:eastAsia="宋体" w:cs="宋体"/>
                <w:sz w:val="24"/>
                <w:szCs w:val="24"/>
              </w:rPr>
              <w:t>1、同一采购包内，对节能产品、环境标志产品政府采购品目清单范围内，实施优先采购的产品，给予产品价格报价10%的扣除，用扣除后的价格参加评审。采购标的同时包含其它非优先采购产品的，供应商应对优先采购产品和非优先采购产品进行分项报价，非优先采购产品的报价不享受给予节能产品、环境标志产品的价格扣除优惠。2、供应商应在投标文件报价部分中同时提供下述材料，否则不予价格扣除：（1）优先类节能产品、环境标志产品统计表；（2）所投产品属于节能（优先类）、环境标志产品的证明资料（国家确定的认证机构出具的、处于有效期之内的产品认证证书复印件）。 备注：①节能产品是指财政部、发展改革委最新公布的《节能产品政府采购品目清单》内且获得国家确定的认证机构出具的、处于有效期之内的产品认证证书的产品；环境标志产品是指生态环境部和财政部最新公布的《环境标志产品政府采购品目清单》内且获得国家确定的认证机构出具的、处于有效期之内的产品认证证书的产品；②同一优先采购产品中各认证证书不重复计算价格扣除。强制类节能产品不进行价格扣除。</w:t>
            </w:r>
          </w:p>
        </w:tc>
      </w:tr>
    </w:tbl>
    <w:p w14:paraId="170419EE">
      <w:pPr>
        <w:pStyle w:val="14"/>
        <w:spacing w:line="360" w:lineRule="auto"/>
        <w:jc w:val="both"/>
        <w:rPr>
          <w:rFonts w:hint="default" w:ascii="宋体" w:hAnsi="宋体" w:eastAsia="宋体" w:cs="宋体"/>
          <w:sz w:val="24"/>
          <w:szCs w:val="24"/>
        </w:rPr>
      </w:pPr>
      <w:r>
        <w:rPr>
          <w:rFonts w:ascii="宋体" w:hAnsi="宋体" w:eastAsia="宋体" w:cs="宋体"/>
          <w:sz w:val="24"/>
          <w:szCs w:val="24"/>
        </w:rPr>
        <w:t>其他：无</w:t>
      </w:r>
    </w:p>
    <w:p w14:paraId="4D5BD0B1">
      <w:pPr>
        <w:pStyle w:val="14"/>
        <w:spacing w:line="360" w:lineRule="auto"/>
        <w:jc w:val="both"/>
        <w:rPr>
          <w:rFonts w:hint="default" w:ascii="宋体" w:hAnsi="宋体" w:eastAsia="宋体" w:cs="宋体"/>
          <w:sz w:val="24"/>
          <w:szCs w:val="24"/>
        </w:rPr>
      </w:pPr>
      <w:r>
        <w:rPr>
          <w:rFonts w:ascii="宋体" w:hAnsi="宋体" w:eastAsia="宋体" w:cs="宋体"/>
          <w:sz w:val="24"/>
          <w:szCs w:val="24"/>
        </w:rPr>
        <w:t>技术项（F2×A2）满分为60.0000分</w:t>
      </w:r>
    </w:p>
    <w:tbl>
      <w:tblPr>
        <w:tblStyle w:val="11"/>
        <w:tblW w:w="93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318"/>
        <w:gridCol w:w="925"/>
        <w:gridCol w:w="7152"/>
      </w:tblGrid>
      <w:tr w14:paraId="07091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18" w:type="dxa"/>
          </w:tcPr>
          <w:p w14:paraId="6958C146">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25" w:type="dxa"/>
          </w:tcPr>
          <w:p w14:paraId="16C8E7BD">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52" w:type="dxa"/>
          </w:tcPr>
          <w:p w14:paraId="463E1E4B">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36EF6C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18" w:type="dxa"/>
            <w:vAlign w:val="center"/>
          </w:tcPr>
          <w:p w14:paraId="1451EEC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1、技术指标响应情况</w:t>
            </w:r>
          </w:p>
        </w:tc>
        <w:tc>
          <w:tcPr>
            <w:tcW w:w="925" w:type="dxa"/>
            <w:vAlign w:val="center"/>
          </w:tcPr>
          <w:p w14:paraId="0AB0BBE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60.00</w:t>
            </w:r>
          </w:p>
        </w:tc>
        <w:tc>
          <w:tcPr>
            <w:tcW w:w="7152" w:type="dxa"/>
            <w:vAlign w:val="top"/>
          </w:tcPr>
          <w:p w14:paraId="6878DE18">
            <w:pPr>
              <w:pStyle w:val="14"/>
              <w:spacing w:line="360" w:lineRule="auto"/>
              <w:jc w:val="both"/>
              <w:rPr>
                <w:rFonts w:hint="default" w:ascii="宋体" w:hAnsi="宋体" w:eastAsia="宋体" w:cs="宋体"/>
                <w:sz w:val="24"/>
                <w:szCs w:val="24"/>
              </w:rPr>
            </w:pPr>
            <w:r>
              <w:rPr>
                <w:rFonts w:ascii="宋体" w:hAnsi="宋体" w:eastAsia="宋体" w:cs="宋体"/>
                <w:sz w:val="24"/>
                <w:szCs w:val="24"/>
                <w:highlight w:val="none"/>
              </w:rPr>
              <w:t>根据投标人所投设备对《第五章招标内容及要求》“二、技术服务要求”中技术参数的响应、承诺情况，由评委进行评议并评分：①完全满足招标文件技术参数要求的得60分；②标注“★”符号的技术参数（共</w:t>
            </w:r>
            <w:r>
              <w:rPr>
                <w:rFonts w:hint="eastAsia" w:ascii="宋体" w:hAnsi="宋体" w:eastAsia="宋体" w:cs="宋体"/>
                <w:sz w:val="24"/>
                <w:szCs w:val="24"/>
                <w:highlight w:val="none"/>
                <w:lang w:val="en-US" w:eastAsia="zh-CN"/>
              </w:rPr>
              <w:t>2</w:t>
            </w:r>
            <w:r>
              <w:rPr>
                <w:rFonts w:ascii="宋体" w:hAnsi="宋体" w:eastAsia="宋体" w:cs="宋体"/>
                <w:sz w:val="24"/>
                <w:szCs w:val="24"/>
                <w:highlight w:val="none"/>
              </w:rPr>
              <w:t>项）出现负偏离将导致投标无效；③标注“▲”符号的技术参数每负偏离一项扣</w:t>
            </w:r>
            <w:r>
              <w:rPr>
                <w:rFonts w:hint="eastAsia" w:ascii="宋体" w:hAnsi="宋体" w:eastAsia="宋体" w:cs="宋体"/>
                <w:sz w:val="24"/>
                <w:szCs w:val="24"/>
                <w:highlight w:val="none"/>
                <w:lang w:val="en-US" w:eastAsia="zh-CN"/>
              </w:rPr>
              <w:t>2.46</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15</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36.9</w:t>
            </w:r>
            <w:r>
              <w:rPr>
                <w:rFonts w:ascii="宋体" w:hAnsi="宋体" w:eastAsia="宋体" w:cs="宋体"/>
                <w:sz w:val="24"/>
                <w:szCs w:val="24"/>
                <w:highlight w:val="none"/>
              </w:rPr>
              <w:t>分）</w:t>
            </w:r>
            <w:r>
              <w:rPr>
                <w:rFonts w:hint="eastAsia" w:ascii="宋体" w:hAnsi="宋体" w:eastAsia="宋体" w:cs="宋体"/>
                <w:sz w:val="24"/>
                <w:szCs w:val="24"/>
                <w:highlight w:val="none"/>
                <w:lang w:eastAsia="zh-CN"/>
              </w:rPr>
              <w:t>，</w:t>
            </w:r>
            <w:r>
              <w:rPr>
                <w:rFonts w:ascii="宋体" w:hAnsi="宋体" w:eastAsia="宋体" w:cs="宋体"/>
                <w:sz w:val="24"/>
                <w:szCs w:val="24"/>
                <w:highlight w:val="none"/>
              </w:rPr>
              <w:t>标注“▲”符号的参数负偏离≥2项，则按实质性偏离招标文件要求处理，其投标无效</w:t>
            </w:r>
            <w:r>
              <w:rPr>
                <w:rFonts w:hint="eastAsia" w:ascii="宋体" w:hAnsi="宋体" w:eastAsia="宋体" w:cs="宋体"/>
                <w:sz w:val="24"/>
                <w:szCs w:val="24"/>
                <w:highlight w:val="none"/>
                <w:lang w:eastAsia="zh-CN"/>
              </w:rPr>
              <w:t>；④</w:t>
            </w:r>
            <w:r>
              <w:rPr>
                <w:rFonts w:hint="eastAsia" w:ascii="宋体" w:hAnsi="宋体" w:eastAsia="宋体" w:cs="宋体"/>
                <w:sz w:val="24"/>
                <w:szCs w:val="24"/>
                <w:highlight w:val="none"/>
                <w:lang w:val="en-US" w:eastAsia="zh-CN"/>
              </w:rPr>
              <w:t>未标注符号的技术参数（评审指标1-评审指154）</w:t>
            </w:r>
            <w:r>
              <w:rPr>
                <w:rFonts w:ascii="宋体" w:hAnsi="宋体" w:eastAsia="宋体" w:cs="宋体"/>
                <w:sz w:val="24"/>
                <w:szCs w:val="24"/>
                <w:highlight w:val="none"/>
              </w:rPr>
              <w:t>每负偏离一项扣</w:t>
            </w:r>
            <w:r>
              <w:rPr>
                <w:rFonts w:hint="eastAsia" w:ascii="宋体" w:hAnsi="宋体" w:eastAsia="宋体" w:cs="宋体"/>
                <w:sz w:val="24"/>
                <w:szCs w:val="24"/>
                <w:highlight w:val="none"/>
                <w:lang w:val="en-US" w:eastAsia="zh-CN"/>
              </w:rPr>
              <w:t>0.15</w:t>
            </w:r>
            <w:r>
              <w:rPr>
                <w:rFonts w:ascii="宋体" w:hAnsi="宋体" w:eastAsia="宋体" w:cs="宋体"/>
                <w:sz w:val="24"/>
                <w:szCs w:val="24"/>
                <w:highlight w:val="none"/>
              </w:rPr>
              <w:t>分（共计</w:t>
            </w:r>
            <w:r>
              <w:rPr>
                <w:rFonts w:hint="eastAsia" w:ascii="宋体" w:hAnsi="宋体" w:eastAsia="宋体" w:cs="宋体"/>
                <w:sz w:val="24"/>
                <w:szCs w:val="24"/>
                <w:highlight w:val="none"/>
                <w:lang w:val="en-US" w:eastAsia="zh-CN"/>
              </w:rPr>
              <w:t>154</w:t>
            </w:r>
            <w:r>
              <w:rPr>
                <w:rFonts w:ascii="宋体" w:hAnsi="宋体" w:eastAsia="宋体" w:cs="宋体"/>
                <w:sz w:val="24"/>
                <w:szCs w:val="24"/>
                <w:highlight w:val="none"/>
              </w:rPr>
              <w:t>项，合计</w:t>
            </w:r>
            <w:r>
              <w:rPr>
                <w:rFonts w:hint="eastAsia" w:ascii="宋体" w:hAnsi="宋体" w:eastAsia="宋体" w:cs="宋体"/>
                <w:sz w:val="24"/>
                <w:szCs w:val="24"/>
                <w:highlight w:val="none"/>
                <w:lang w:val="en-US" w:eastAsia="zh-CN"/>
              </w:rPr>
              <w:t>23.1</w:t>
            </w:r>
            <w:r>
              <w:rPr>
                <w:rFonts w:ascii="宋体" w:hAnsi="宋体" w:eastAsia="宋体" w:cs="宋体"/>
                <w:sz w:val="24"/>
                <w:szCs w:val="24"/>
                <w:highlight w:val="none"/>
              </w:rPr>
              <w:t>分）</w:t>
            </w:r>
            <w:r>
              <w:rPr>
                <w:rFonts w:hint="eastAsia" w:ascii="宋体" w:hAnsi="宋体" w:eastAsia="宋体" w:cs="宋体"/>
                <w:sz w:val="24"/>
                <w:szCs w:val="24"/>
                <w:highlight w:val="none"/>
                <w:lang w:val="en-US" w:eastAsia="zh-CN"/>
              </w:rPr>
              <w:t>。</w:t>
            </w:r>
            <w:r>
              <w:rPr>
                <w:rFonts w:ascii="宋体" w:hAnsi="宋体" w:eastAsia="宋体" w:cs="宋体"/>
                <w:sz w:val="24"/>
                <w:szCs w:val="24"/>
                <w:highlight w:val="none"/>
              </w:rPr>
              <w:t>正偏离不加分。注：投标文件中《技术和服务要求响应表》应答内容与投标人提供的佐证材料【如国家行政部门颁发的证书、检测报告、产品彩页或Datasheet（技术白皮书）等（佐证材料相互不一致的，以此先后顺序判定，排序在前的优先认定）】不一致时，以投标人提供的佐证材料为判定依据。</w:t>
            </w:r>
          </w:p>
        </w:tc>
      </w:tr>
    </w:tbl>
    <w:p w14:paraId="2139B550">
      <w:pPr>
        <w:pStyle w:val="14"/>
        <w:spacing w:line="360" w:lineRule="auto"/>
        <w:jc w:val="both"/>
        <w:rPr>
          <w:rFonts w:hint="default" w:ascii="宋体" w:hAnsi="宋体" w:eastAsia="宋体" w:cs="宋体"/>
          <w:sz w:val="24"/>
          <w:szCs w:val="24"/>
        </w:rPr>
      </w:pPr>
      <w:r>
        <w:rPr>
          <w:rFonts w:ascii="宋体" w:hAnsi="宋体" w:eastAsia="宋体" w:cs="宋体"/>
          <w:sz w:val="24"/>
          <w:szCs w:val="24"/>
        </w:rPr>
        <w:t>商务项（F3×A3）满分为10.0000分</w:t>
      </w:r>
    </w:p>
    <w:tbl>
      <w:tblPr>
        <w:tblStyle w:val="11"/>
        <w:tblW w:w="94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05"/>
        <w:gridCol w:w="938"/>
        <w:gridCol w:w="7166"/>
      </w:tblGrid>
      <w:tr w14:paraId="1CDB62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tcPr>
          <w:p w14:paraId="45E1CFF1">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项目</w:t>
            </w:r>
          </w:p>
        </w:tc>
        <w:tc>
          <w:tcPr>
            <w:tcW w:w="938" w:type="dxa"/>
          </w:tcPr>
          <w:p w14:paraId="33D95A39">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分值</w:t>
            </w:r>
          </w:p>
        </w:tc>
        <w:tc>
          <w:tcPr>
            <w:tcW w:w="7166" w:type="dxa"/>
          </w:tcPr>
          <w:p w14:paraId="6D4F4365">
            <w:pPr>
              <w:pStyle w:val="14"/>
              <w:spacing w:line="360" w:lineRule="auto"/>
              <w:jc w:val="both"/>
              <w:rPr>
                <w:rFonts w:hint="default" w:ascii="宋体" w:hAnsi="宋体" w:eastAsia="宋体" w:cs="宋体"/>
                <w:sz w:val="24"/>
                <w:szCs w:val="24"/>
              </w:rPr>
            </w:pPr>
            <w:r>
              <w:rPr>
                <w:rFonts w:ascii="宋体" w:hAnsi="宋体" w:eastAsia="宋体" w:cs="宋体"/>
                <w:sz w:val="24"/>
                <w:szCs w:val="24"/>
              </w:rPr>
              <w:t xml:space="preserve"> 描述</w:t>
            </w:r>
          </w:p>
        </w:tc>
      </w:tr>
      <w:tr w14:paraId="25B9BC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514F4F2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1、业绩</w:t>
            </w:r>
          </w:p>
        </w:tc>
        <w:tc>
          <w:tcPr>
            <w:tcW w:w="938" w:type="dxa"/>
            <w:vAlign w:val="center"/>
          </w:tcPr>
          <w:p w14:paraId="21D763E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46F204B8">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根据各投标人提供自2021年1月1日起至本项目投标截止时间止(日期以合同签订时间为准) 由投标人所完成的同类业绩情况进行评分，每提供1份完整合格的业绩项目的得1分, 累计最高得3分。注：投标人须同时提供中标（成交）公告(提供相关网站中标（成交）公告的下载网页并注明网址)、中标（成交）通知书复印件、采购合同文本复印件，以及能够证明该业绩项目已经采购人验收合格的相关证明文件复印件(原件备查)，未同时提供以上证明材料的本项不得分。</w:t>
            </w:r>
          </w:p>
        </w:tc>
      </w:tr>
      <w:tr w14:paraId="725EF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3AB81E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2、技术培训方案</w:t>
            </w:r>
          </w:p>
        </w:tc>
        <w:tc>
          <w:tcPr>
            <w:tcW w:w="938" w:type="dxa"/>
            <w:vAlign w:val="center"/>
          </w:tcPr>
          <w:p w14:paraId="10F599B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47F57C24">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各投标人针对本项目提供的现场技术培训方案（包括但不限于①培训时间安排；②培训人员安排；③实施及针对性措施；④保证培训成效的措施等），由评委进行评议：投标人提供的培训方案至少应包括：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1E6BC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66BEF38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3、售后服务方案</w:t>
            </w:r>
          </w:p>
        </w:tc>
        <w:tc>
          <w:tcPr>
            <w:tcW w:w="938" w:type="dxa"/>
            <w:vAlign w:val="center"/>
          </w:tcPr>
          <w:p w14:paraId="2574E0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2.00</w:t>
            </w:r>
          </w:p>
        </w:tc>
        <w:tc>
          <w:tcPr>
            <w:tcW w:w="7166" w:type="dxa"/>
          </w:tcPr>
          <w:p w14:paraId="54088F91">
            <w:pPr>
              <w:pStyle w:val="14"/>
              <w:spacing w:line="360" w:lineRule="auto"/>
              <w:jc w:val="both"/>
              <w:rPr>
                <w:rFonts w:hint="default" w:ascii="宋体" w:hAnsi="宋体" w:eastAsia="宋体" w:cs="宋体"/>
                <w:sz w:val="24"/>
                <w:szCs w:val="24"/>
              </w:rPr>
            </w:pPr>
            <w:r>
              <w:rPr>
                <w:rFonts w:ascii="宋体" w:hAnsi="宋体" w:eastAsia="宋体" w:cs="宋体"/>
                <w:sz w:val="24"/>
                <w:szCs w:val="24"/>
              </w:rPr>
              <w:t>根据投标人针对本项目提供的售后服务方案（包括但不限于①保修期内、外的售后服务内容；②故障响应方式、时间，承诺维修人员到达现场时间；③质量保证承诺等），由评委进行评议：方案包含的要点齐全无缺漏项、内容与要点相符、每个要点均有展开详细的阐述且能够适用于本项目得2分；方案所包含的要点齐全、内容与要点相符但仅有纲要、内容简略，未展开详细阐述但能够适用于本项目的得1.5分；方案所包含的要点有缺漏但描述的要点基本能够适用于本项目得1分；未提供的或者不满足本项目需求的不得分。</w:t>
            </w:r>
          </w:p>
        </w:tc>
      </w:tr>
      <w:tr w14:paraId="4F1765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05" w:type="dxa"/>
            <w:vAlign w:val="center"/>
          </w:tcPr>
          <w:p w14:paraId="5F08890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4、质保期</w:t>
            </w:r>
          </w:p>
        </w:tc>
        <w:tc>
          <w:tcPr>
            <w:tcW w:w="938" w:type="dxa"/>
            <w:vAlign w:val="center"/>
          </w:tcPr>
          <w:p w14:paraId="1952325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3.00</w:t>
            </w:r>
          </w:p>
        </w:tc>
        <w:tc>
          <w:tcPr>
            <w:tcW w:w="7166" w:type="dxa"/>
          </w:tcPr>
          <w:p w14:paraId="5A431200">
            <w:pPr>
              <w:pStyle w:val="14"/>
              <w:spacing w:line="360" w:lineRule="auto"/>
              <w:jc w:val="both"/>
              <w:rPr>
                <w:rFonts w:hint="default" w:ascii="宋体" w:hAnsi="宋体" w:eastAsia="宋体" w:cs="宋体"/>
                <w:sz w:val="24"/>
                <w:szCs w:val="24"/>
              </w:rPr>
            </w:pPr>
            <w:r>
              <w:rPr>
                <w:rFonts w:ascii="宋体" w:hAnsi="宋体" w:eastAsia="宋体" w:cs="宋体"/>
                <w:sz w:val="24"/>
                <w:szCs w:val="24"/>
              </w:rPr>
              <w:t>据各投标人提供的质保期时间承诺情况进行评分，满足招标文件要求的不得分，在不增加费用的情况下，每增加1年加1分，满分3分，其余不得分。（投标人须提供承诺函，格式自拟）</w:t>
            </w:r>
          </w:p>
        </w:tc>
      </w:tr>
    </w:tbl>
    <w:p w14:paraId="2D778DDF">
      <w:pPr>
        <w:pStyle w:val="14"/>
        <w:spacing w:line="360" w:lineRule="auto"/>
        <w:jc w:val="both"/>
        <w:rPr>
          <w:rFonts w:hint="default" w:ascii="宋体" w:hAnsi="宋体" w:eastAsia="宋体" w:cs="宋体"/>
          <w:sz w:val="24"/>
          <w:szCs w:val="24"/>
        </w:rPr>
      </w:pPr>
      <w:r>
        <w:rPr>
          <w:rFonts w:ascii="宋体" w:hAnsi="宋体" w:eastAsia="宋体" w:cs="宋体"/>
          <w:sz w:val="24"/>
          <w:szCs w:val="24"/>
        </w:rPr>
        <w:t>※除本章第6.3条第（3）款规定情形和落实政府采购政策需进行的价格扣除情形外，不能对投标人的投标报价进行任何调整。</w:t>
      </w:r>
    </w:p>
    <w:p w14:paraId="228A5C68">
      <w:pPr>
        <w:pStyle w:val="14"/>
        <w:spacing w:line="360" w:lineRule="auto"/>
        <w:jc w:val="both"/>
        <w:rPr>
          <w:rFonts w:hint="default" w:ascii="宋体" w:hAnsi="宋体" w:eastAsia="宋体" w:cs="宋体"/>
          <w:sz w:val="24"/>
          <w:szCs w:val="24"/>
        </w:rPr>
      </w:pPr>
      <w:r>
        <w:rPr>
          <w:rFonts w:ascii="宋体" w:hAnsi="宋体" w:eastAsia="宋体" w:cs="宋体"/>
          <w:sz w:val="24"/>
          <w:szCs w:val="24"/>
        </w:rPr>
        <w:t>（3）中标候选人排列规则顺序如下：</w:t>
      </w:r>
    </w:p>
    <w:p w14:paraId="23D9ACBC">
      <w:pPr>
        <w:pStyle w:val="14"/>
        <w:spacing w:line="360" w:lineRule="auto"/>
        <w:jc w:val="both"/>
        <w:rPr>
          <w:rFonts w:hint="default" w:ascii="宋体" w:hAnsi="宋体" w:eastAsia="宋体" w:cs="宋体"/>
          <w:sz w:val="24"/>
          <w:szCs w:val="24"/>
        </w:rPr>
      </w:pPr>
      <w:r>
        <w:rPr>
          <w:rFonts w:ascii="宋体" w:hAnsi="宋体" w:eastAsia="宋体" w:cs="宋体"/>
          <w:sz w:val="24"/>
          <w:szCs w:val="24"/>
        </w:rPr>
        <w:t>a.按照评标总得分（FA）由高到低顺序排列。</w:t>
      </w:r>
    </w:p>
    <w:p w14:paraId="4A1EB3AF">
      <w:pPr>
        <w:pStyle w:val="14"/>
        <w:spacing w:line="360" w:lineRule="auto"/>
        <w:jc w:val="both"/>
        <w:rPr>
          <w:rFonts w:hint="default" w:ascii="宋体" w:hAnsi="宋体" w:eastAsia="宋体" w:cs="宋体"/>
          <w:sz w:val="24"/>
          <w:szCs w:val="24"/>
        </w:rPr>
      </w:pPr>
      <w:r>
        <w:rPr>
          <w:rFonts w:ascii="宋体" w:hAnsi="宋体" w:eastAsia="宋体" w:cs="宋体"/>
          <w:sz w:val="24"/>
          <w:szCs w:val="24"/>
        </w:rPr>
        <w:t>b.评标总得分（FA）相同的，按照评标价（即价格扣除后的投标报价）由低到高顺序排列。</w:t>
      </w:r>
    </w:p>
    <w:p w14:paraId="1F4F5F05">
      <w:pPr>
        <w:pStyle w:val="14"/>
        <w:spacing w:line="360" w:lineRule="auto"/>
        <w:jc w:val="both"/>
        <w:rPr>
          <w:rFonts w:hint="default" w:ascii="宋体" w:hAnsi="宋体" w:eastAsia="宋体" w:cs="宋体"/>
          <w:sz w:val="24"/>
          <w:szCs w:val="24"/>
        </w:rPr>
      </w:pPr>
      <w:r>
        <w:rPr>
          <w:rFonts w:ascii="宋体" w:hAnsi="宋体" w:eastAsia="宋体" w:cs="宋体"/>
          <w:sz w:val="24"/>
          <w:szCs w:val="24"/>
        </w:rPr>
        <w:t>c.评标总得分（FA）且评标价（即价格扣除后的投标报价）相同的并列。</w:t>
      </w:r>
    </w:p>
    <w:p w14:paraId="48881FCD">
      <w:pPr>
        <w:pStyle w:val="14"/>
        <w:spacing w:line="360" w:lineRule="auto"/>
        <w:jc w:val="both"/>
        <w:rPr>
          <w:rFonts w:hint="default" w:ascii="宋体" w:hAnsi="宋体" w:eastAsia="宋体" w:cs="宋体"/>
          <w:sz w:val="24"/>
          <w:szCs w:val="24"/>
        </w:rPr>
      </w:pPr>
      <w:r>
        <w:rPr>
          <w:rFonts w:ascii="宋体" w:hAnsi="宋体" w:eastAsia="宋体" w:cs="宋体"/>
          <w:sz w:val="24"/>
          <w:szCs w:val="24"/>
        </w:rPr>
        <w:t>8、其他规定</w:t>
      </w:r>
    </w:p>
    <w:p w14:paraId="7CF3C748">
      <w:pPr>
        <w:pStyle w:val="14"/>
        <w:spacing w:line="360" w:lineRule="auto"/>
        <w:jc w:val="both"/>
        <w:rPr>
          <w:rFonts w:hint="default" w:ascii="宋体" w:hAnsi="宋体" w:eastAsia="宋体" w:cs="宋体"/>
          <w:sz w:val="24"/>
          <w:szCs w:val="24"/>
        </w:rPr>
      </w:pPr>
      <w:r>
        <w:rPr>
          <w:rFonts w:ascii="宋体" w:hAnsi="宋体" w:eastAsia="宋体" w:cs="宋体"/>
          <w:sz w:val="24"/>
          <w:szCs w:val="24"/>
        </w:rPr>
        <w:t>8.1评标应全程保密且不得透露给任一投标人或与评标工作无关的人员。</w:t>
      </w:r>
    </w:p>
    <w:p w14:paraId="60F41EF6">
      <w:pPr>
        <w:pStyle w:val="14"/>
        <w:spacing w:line="360" w:lineRule="auto"/>
        <w:jc w:val="both"/>
        <w:rPr>
          <w:rFonts w:hint="default" w:ascii="宋体" w:hAnsi="宋体" w:eastAsia="宋体" w:cs="宋体"/>
          <w:sz w:val="24"/>
          <w:szCs w:val="24"/>
        </w:rPr>
      </w:pPr>
      <w:r>
        <w:rPr>
          <w:rFonts w:ascii="宋体" w:hAnsi="宋体" w:eastAsia="宋体" w:cs="宋体"/>
          <w:sz w:val="24"/>
          <w:szCs w:val="24"/>
        </w:rPr>
        <w:t>8.2评标将进行全程实时录音录像，录音录像资料随采购文件一并存档。</w:t>
      </w:r>
    </w:p>
    <w:p w14:paraId="06898520">
      <w:pPr>
        <w:pStyle w:val="14"/>
        <w:spacing w:line="360" w:lineRule="auto"/>
        <w:jc w:val="both"/>
        <w:rPr>
          <w:rFonts w:hint="default" w:ascii="宋体" w:hAnsi="宋体" w:eastAsia="宋体" w:cs="宋体"/>
          <w:sz w:val="24"/>
          <w:szCs w:val="24"/>
        </w:rPr>
      </w:pPr>
      <w:r>
        <w:rPr>
          <w:rFonts w:ascii="宋体" w:hAnsi="宋体" w:eastAsia="宋体" w:cs="宋体"/>
          <w:sz w:val="24"/>
          <w:szCs w:val="24"/>
        </w:rPr>
        <w:t>8.3若投标人有任何试图干扰具体评标事务，影响评标委员会独立履行职责的行为，其投标无效且不予退还投标保证金或通过投标保函进行索赔。情节严重的，由财政部门列入不良行为记录。</w:t>
      </w:r>
    </w:p>
    <w:p w14:paraId="01E91CC7">
      <w:pPr>
        <w:pStyle w:val="14"/>
        <w:spacing w:line="360" w:lineRule="auto"/>
        <w:jc w:val="both"/>
        <w:rPr>
          <w:rFonts w:hint="default" w:ascii="宋体" w:hAnsi="宋体" w:eastAsia="宋体" w:cs="宋体"/>
          <w:sz w:val="24"/>
          <w:szCs w:val="24"/>
        </w:rPr>
      </w:pPr>
      <w:r>
        <w:rPr>
          <w:rFonts w:ascii="宋体" w:hAnsi="宋体" w:eastAsia="宋体" w:cs="宋体"/>
          <w:sz w:val="24"/>
          <w:szCs w:val="24"/>
        </w:rPr>
        <w:t>8.4其他：无</w:t>
      </w:r>
    </w:p>
    <w:p w14:paraId="072FDACC">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4EF5988">
      <w:pPr>
        <w:pStyle w:val="14"/>
        <w:spacing w:line="360" w:lineRule="auto"/>
        <w:jc w:val="center"/>
        <w:outlineLvl w:val="1"/>
        <w:rPr>
          <w:rFonts w:hint="default" w:ascii="宋体" w:hAnsi="宋体" w:eastAsia="宋体" w:cs="宋体"/>
          <w:sz w:val="28"/>
          <w:szCs w:val="28"/>
        </w:rPr>
      </w:pPr>
      <w:r>
        <w:rPr>
          <w:rFonts w:ascii="宋体" w:hAnsi="宋体" w:eastAsia="宋体" w:cs="宋体"/>
          <w:b/>
          <w:sz w:val="28"/>
          <w:szCs w:val="28"/>
        </w:rPr>
        <w:t>第五章 招标内容及要求</w:t>
      </w:r>
    </w:p>
    <w:p w14:paraId="700D0E3E">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一、项目概况（采购标的）</w:t>
      </w:r>
    </w:p>
    <w:p w14:paraId="35D512E4">
      <w:pPr>
        <w:pStyle w:val="14"/>
        <w:spacing w:line="360" w:lineRule="auto"/>
        <w:ind w:firstLine="480" w:firstLineChars="200"/>
        <w:jc w:val="both"/>
        <w:rPr>
          <w:rFonts w:hint="default" w:ascii="宋体" w:hAnsi="宋体" w:eastAsia="宋体" w:cs="宋体"/>
          <w:sz w:val="24"/>
          <w:szCs w:val="24"/>
          <w:shd w:val="clear" w:color="auto" w:fill="FFFFFF"/>
        </w:rPr>
      </w:pPr>
      <w:r>
        <w:rPr>
          <w:rFonts w:ascii="宋体" w:hAnsi="宋体" w:eastAsia="宋体" w:cs="宋体"/>
          <w:sz w:val="24"/>
          <w:szCs w:val="24"/>
          <w:shd w:val="clear" w:color="auto" w:fill="FFFFFF"/>
        </w:rPr>
        <w:t>1.投标人及所投产品应满足下述要求：</w:t>
      </w:r>
    </w:p>
    <w:p w14:paraId="3DF320B1">
      <w:pPr>
        <w:pStyle w:val="14"/>
        <w:spacing w:line="360" w:lineRule="auto"/>
        <w:ind w:firstLine="480" w:firstLineChars="200"/>
        <w:jc w:val="both"/>
        <w:rPr>
          <w:rFonts w:hint="default" w:ascii="宋体" w:hAnsi="宋体" w:eastAsia="宋体" w:cs="宋体"/>
          <w:sz w:val="24"/>
          <w:szCs w:val="24"/>
          <w:shd w:val="clear" w:color="auto" w:fill="FFFFFF"/>
        </w:rPr>
      </w:pPr>
      <w:r>
        <w:rPr>
          <w:rFonts w:ascii="宋体" w:hAnsi="宋体" w:eastAsia="宋体" w:cs="宋体"/>
          <w:sz w:val="24"/>
          <w:szCs w:val="24"/>
          <w:shd w:val="clear" w:color="auto" w:fill="FFFFFF"/>
        </w:rPr>
        <w:t>1.1 投标人所投货物为生产厂家的正规合格产品，所有货物均为全新原厂原包装（未经使用和非展览会展示样品设备，外观无刮、碰痕迹，并有下列明显标记：名称、品牌型号、制造商标识、产地、出厂日期、出产序列号等），不接受改装改配产品。货物的制造标准及技术规范等有关资料必须符合国家相关标准、规范要求。货物的电气、设备仪表应符合国家相关规定，噪音方面符合国家相关标准，货物质量达到设计要求，安装调试各项指标符合技术参数要求且须通过质检计量部门的检验。</w:t>
      </w:r>
    </w:p>
    <w:p w14:paraId="19E1C537">
      <w:pPr>
        <w:pStyle w:val="14"/>
        <w:spacing w:line="360" w:lineRule="auto"/>
        <w:ind w:firstLine="480" w:firstLineChars="200"/>
        <w:jc w:val="both"/>
        <w:rPr>
          <w:rFonts w:hint="default" w:ascii="宋体" w:hAnsi="宋体" w:eastAsia="宋体" w:cs="宋体"/>
          <w:sz w:val="24"/>
          <w:szCs w:val="24"/>
          <w:shd w:val="clear" w:color="auto" w:fill="FFFFFF"/>
        </w:rPr>
      </w:pPr>
      <w:r>
        <w:rPr>
          <w:rFonts w:ascii="宋体" w:hAnsi="宋体" w:eastAsia="宋体" w:cs="宋体"/>
          <w:sz w:val="24"/>
          <w:szCs w:val="24"/>
          <w:shd w:val="clear" w:color="auto" w:fill="FFFFFF"/>
        </w:rPr>
        <w:t>1.2 投标人应按正规销售渠道供货，保证采购人能享受原厂或原厂认可的售后维修机构的售后服务。投标人所提供的服务应符合国家相关法律法规。投标人提供的产品中如有配套使用的相关软件，必须是正版的、合法的。</w:t>
      </w:r>
    </w:p>
    <w:p w14:paraId="4FF98989">
      <w:pPr>
        <w:pStyle w:val="14"/>
        <w:spacing w:line="360" w:lineRule="auto"/>
        <w:ind w:firstLine="480" w:firstLineChars="200"/>
        <w:jc w:val="both"/>
        <w:rPr>
          <w:rFonts w:hint="default" w:ascii="宋体" w:hAnsi="宋体" w:eastAsia="宋体" w:cs="宋体"/>
          <w:sz w:val="24"/>
          <w:szCs w:val="24"/>
          <w:shd w:val="clear" w:color="auto" w:fill="FFFFFF"/>
        </w:rPr>
      </w:pPr>
      <w:r>
        <w:rPr>
          <w:rFonts w:ascii="宋体" w:hAnsi="宋体" w:eastAsia="宋体" w:cs="宋体"/>
          <w:sz w:val="24"/>
          <w:szCs w:val="24"/>
          <w:shd w:val="clear" w:color="auto" w:fill="FFFFFF"/>
        </w:rPr>
        <w:t>1.3 投标人须保障采购人在使用该货物或其任何一部分时不受到第三方关于侵犯专利权、商标权或工业设计权等知识产权的指控，任何第三方如果提出此方面指控均与招标采购单位无关，投标人应与第三方交涉，并承担可能发生的一切法律责任、费用和后果；若招标采购单位因此而遭致损失的，投标人应赔偿该损失。</w:t>
      </w:r>
    </w:p>
    <w:p w14:paraId="42BAC7F2">
      <w:pPr>
        <w:pStyle w:val="14"/>
        <w:spacing w:line="360" w:lineRule="auto"/>
        <w:ind w:firstLine="480" w:firstLineChars="200"/>
        <w:jc w:val="both"/>
        <w:rPr>
          <w:rFonts w:hint="default"/>
          <w:sz w:val="24"/>
          <w:szCs w:val="24"/>
        </w:rPr>
      </w:pPr>
      <w:r>
        <w:rPr>
          <w:rFonts w:ascii="宋体" w:hAnsi="宋体" w:eastAsia="宋体" w:cs="宋体"/>
          <w:sz w:val="24"/>
          <w:szCs w:val="24"/>
          <w:shd w:val="clear" w:color="auto" w:fill="FFFFFF"/>
        </w:rPr>
        <w:t>投标人中标后提供的产品不满足本条款要求的，采购人将拒绝验收，由此带来的一切损失将由中标人负责。</w:t>
      </w:r>
    </w:p>
    <w:p w14:paraId="07103838">
      <w:pPr>
        <w:pStyle w:val="14"/>
        <w:spacing w:after="120" w:line="360" w:lineRule="auto"/>
        <w:ind w:firstLine="480" w:firstLineChars="200"/>
        <w:rPr>
          <w:rFonts w:hint="default" w:ascii="宋体" w:hAnsi="宋体" w:eastAsia="宋体" w:cs="宋体"/>
          <w:sz w:val="24"/>
          <w:szCs w:val="24"/>
          <w:highlight w:val="none"/>
        </w:rPr>
      </w:pPr>
      <w:r>
        <w:rPr>
          <w:rFonts w:ascii="宋体" w:hAnsi="宋体" w:eastAsia="宋体" w:cs="宋体"/>
          <w:sz w:val="24"/>
          <w:szCs w:val="24"/>
        </w:rPr>
        <w:t>2.报价要求：投标人按采购包投标，对同一采购包内所有内容投标时必须完整，评标与授标以采购包为单位。投标报价不得超出招标文件规定的各采购包及各序号最高限价。投标报价应包含投标货物所涉及的所有费用，包括货物制造、</w:t>
      </w:r>
      <w:r>
        <w:rPr>
          <w:rFonts w:ascii="宋体" w:hAnsi="宋体" w:eastAsia="宋体" w:cs="宋体"/>
          <w:sz w:val="24"/>
          <w:szCs w:val="24"/>
          <w:highlight w:val="none"/>
        </w:rPr>
        <w:t>包装、运输、装卸、税金、保险、安装、搬运、调试、验收、培训、检验、保修、外贸代理费（若有）、关税（若有）、本项目采购代理服务费等一切相关费用。</w:t>
      </w:r>
    </w:p>
    <w:p w14:paraId="15A97380">
      <w:pPr>
        <w:pStyle w:val="14"/>
        <w:spacing w:after="120" w:line="360" w:lineRule="auto"/>
        <w:ind w:firstLine="480" w:firstLineChars="200"/>
        <w:rPr>
          <w:rFonts w:hint="default"/>
          <w:highlight w:val="none"/>
        </w:rPr>
      </w:pPr>
      <w:r>
        <w:rPr>
          <w:rFonts w:ascii="宋体" w:hAnsi="宋体" w:eastAsia="宋体" w:cs="宋体"/>
          <w:sz w:val="24"/>
          <w:szCs w:val="24"/>
          <w:highlight w:val="none"/>
          <w:shd w:val="clear" w:color="auto" w:fill="FFFFFF"/>
        </w:rPr>
        <w:t>3.核心产品：</w:t>
      </w:r>
      <w:r>
        <w:rPr>
          <w:rFonts w:ascii="宋体" w:hAnsi="宋体" w:eastAsia="宋体" w:cs="宋体"/>
          <w:sz w:val="24"/>
          <w:szCs w:val="24"/>
          <w:highlight w:val="none"/>
          <w:shd w:val="clear" w:color="auto" w:fill="FFFFFF"/>
          <w:lang w:eastAsia="zh-CN"/>
        </w:rPr>
        <w:t>本项目所有设备均为核心产品，</w:t>
      </w:r>
      <w:r>
        <w:rPr>
          <w:rFonts w:ascii="宋体" w:hAnsi="宋体" w:eastAsia="宋体" w:cs="宋体"/>
          <w:sz w:val="24"/>
          <w:szCs w:val="24"/>
          <w:highlight w:val="none"/>
          <w:shd w:val="clear" w:color="auto" w:fill="FFFFFF"/>
        </w:rPr>
        <w:t>同一</w:t>
      </w:r>
      <w:r>
        <w:rPr>
          <w:rFonts w:ascii="宋体" w:hAnsi="宋体" w:eastAsia="宋体" w:cs="宋体"/>
          <w:sz w:val="24"/>
          <w:szCs w:val="24"/>
          <w:highlight w:val="none"/>
          <w:shd w:val="clear" w:color="auto" w:fill="FFFFFF"/>
          <w:lang w:eastAsia="zh-CN"/>
        </w:rPr>
        <w:t>采购包</w:t>
      </w:r>
      <w:r>
        <w:rPr>
          <w:rFonts w:ascii="宋体" w:hAnsi="宋体" w:eastAsia="宋体" w:cs="宋体"/>
          <w:sz w:val="24"/>
          <w:szCs w:val="24"/>
          <w:highlight w:val="none"/>
          <w:shd w:val="clear" w:color="auto" w:fill="FFFFFF"/>
        </w:rPr>
        <w:t>中不同供应商对核心产品所投产品品牌相同的，视为提供相同品牌产品，按招标文件第四章6.4-（2）款规定评审。</w:t>
      </w:r>
    </w:p>
    <w:p w14:paraId="1DFE2326">
      <w:pPr>
        <w:pStyle w:val="14"/>
        <w:spacing w:line="360" w:lineRule="auto"/>
        <w:jc w:val="both"/>
        <w:outlineLvl w:val="2"/>
        <w:rPr>
          <w:rFonts w:hint="default" w:ascii="宋体" w:hAnsi="宋体" w:eastAsia="宋体" w:cs="宋体"/>
          <w:b/>
          <w:sz w:val="24"/>
          <w:szCs w:val="24"/>
        </w:rPr>
      </w:pPr>
    </w:p>
    <w:p w14:paraId="2A9273B3">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二、技术和服务要求（以“★”标示的内容为不允许负偏离的实质性要求）</w:t>
      </w:r>
    </w:p>
    <w:p w14:paraId="79A45595">
      <w:pPr>
        <w:pStyle w:val="14"/>
        <w:spacing w:line="360" w:lineRule="auto"/>
        <w:jc w:val="both"/>
        <w:outlineLvl w:val="2"/>
        <w:rPr>
          <w:rFonts w:hint="default" w:ascii="宋体" w:hAnsi="宋体" w:eastAsia="宋体" w:cs="宋体"/>
          <w:b/>
          <w:sz w:val="24"/>
          <w:szCs w:val="24"/>
        </w:rPr>
      </w:pPr>
      <w:r>
        <w:rPr>
          <w:rFonts w:ascii="宋体" w:hAnsi="宋体" w:eastAsia="宋体" w:cs="宋体"/>
          <w:b/>
          <w:sz w:val="24"/>
          <w:szCs w:val="24"/>
        </w:rPr>
        <w:t>采购包1、大功率直流充电桩测试系统：</w:t>
      </w:r>
    </w:p>
    <w:p w14:paraId="30741B55">
      <w:pPr>
        <w:spacing w:line="360" w:lineRule="auto"/>
        <w:ind w:left="720" w:hanging="720"/>
        <w:rPr>
          <w:rFonts w:ascii="宋体" w:hAnsi="宋体" w:cs="宋体"/>
          <w:b/>
          <w:color w:val="auto"/>
          <w:kern w:val="0"/>
          <w:sz w:val="24"/>
          <w:szCs w:val="24"/>
        </w:rPr>
      </w:pPr>
      <w:bookmarkStart w:id="0" w:name="OLE_LINK2"/>
      <w:bookmarkStart w:id="1" w:name="_Hlk195103455"/>
      <w:r>
        <w:rPr>
          <w:rFonts w:hint="eastAsia" w:ascii="宋体" w:hAnsi="宋体" w:cs="宋体"/>
          <w:b/>
          <w:color w:val="auto"/>
          <w:kern w:val="0"/>
          <w:sz w:val="24"/>
          <w:szCs w:val="24"/>
        </w:rPr>
        <w:t>（一）测试</w:t>
      </w:r>
      <w:bookmarkEnd w:id="0"/>
      <w:r>
        <w:rPr>
          <w:rFonts w:hint="eastAsia" w:ascii="宋体" w:hAnsi="宋体" w:cs="宋体"/>
          <w:b/>
          <w:color w:val="auto"/>
          <w:kern w:val="0"/>
          <w:sz w:val="24"/>
          <w:szCs w:val="24"/>
        </w:rPr>
        <w:t>主机：</w:t>
      </w:r>
    </w:p>
    <w:p w14:paraId="71495C6D">
      <w:pPr>
        <w:spacing w:line="360" w:lineRule="auto"/>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1.</w:t>
      </w:r>
      <w:r>
        <w:rPr>
          <w:rFonts w:ascii="宋体" w:hAnsi="宋体" w:cs="宋体"/>
          <w:color w:val="auto"/>
          <w:sz w:val="24"/>
          <w:szCs w:val="24"/>
        </w:rPr>
        <w:t>直流电压测量</w:t>
      </w:r>
      <w:r>
        <w:rPr>
          <w:rFonts w:hint="eastAsia" w:ascii="宋体" w:hAnsi="宋体" w:cs="宋体"/>
          <w:color w:val="auto"/>
          <w:sz w:val="24"/>
          <w:szCs w:val="24"/>
        </w:rPr>
        <w:t>：量程：</w:t>
      </w:r>
      <w:r>
        <w:rPr>
          <w:rFonts w:ascii="宋体" w:hAnsi="宋体" w:cs="宋体"/>
          <w:color w:val="auto"/>
          <w:sz w:val="24"/>
          <w:szCs w:val="24"/>
        </w:rPr>
        <w:t>0～1500V</w:t>
      </w:r>
      <w:r>
        <w:rPr>
          <w:rFonts w:hint="eastAsia" w:ascii="宋体" w:hAnsi="宋体" w:cs="宋体"/>
          <w:color w:val="auto"/>
          <w:sz w:val="24"/>
          <w:szCs w:val="24"/>
        </w:rPr>
        <w:t>，</w:t>
      </w:r>
      <w:r>
        <w:rPr>
          <w:rFonts w:ascii="宋体" w:hAnsi="宋体" w:cs="宋体"/>
          <w:color w:val="auto"/>
          <w:sz w:val="24"/>
          <w:szCs w:val="24"/>
        </w:rPr>
        <w:t>准确测量范围：</w:t>
      </w:r>
      <w:r>
        <w:rPr>
          <w:rFonts w:hint="eastAsia" w:ascii="宋体" w:hAnsi="宋体" w:cs="宋体"/>
          <w:color w:val="auto"/>
          <w:sz w:val="24"/>
          <w:szCs w:val="24"/>
        </w:rPr>
        <w:t>5</w:t>
      </w:r>
      <w:r>
        <w:rPr>
          <w:rFonts w:ascii="宋体" w:hAnsi="宋体" w:cs="宋体"/>
          <w:color w:val="auto"/>
          <w:sz w:val="24"/>
          <w:szCs w:val="24"/>
        </w:rPr>
        <w:t>0V～1500V</w:t>
      </w:r>
      <w:r>
        <w:rPr>
          <w:rFonts w:hint="eastAsia" w:ascii="宋体" w:hAnsi="宋体" w:cs="宋体"/>
          <w:color w:val="auto"/>
          <w:sz w:val="24"/>
          <w:szCs w:val="24"/>
        </w:rPr>
        <w:t>，</w:t>
      </w:r>
      <w:r>
        <w:rPr>
          <w:rFonts w:ascii="宋体" w:hAnsi="宋体" w:cs="宋体"/>
          <w:color w:val="auto"/>
          <w:sz w:val="24"/>
          <w:szCs w:val="24"/>
        </w:rPr>
        <w:t>准确度：</w:t>
      </w:r>
      <w:r>
        <w:rPr>
          <w:rFonts w:hint="eastAsia" w:ascii="宋体" w:hAnsi="宋体" w:cs="宋体"/>
          <w:color w:val="auto"/>
          <w:sz w:val="24"/>
          <w:szCs w:val="24"/>
        </w:rPr>
        <w:t>≤</w:t>
      </w:r>
      <w:r>
        <w:rPr>
          <w:rFonts w:ascii="宋体" w:hAnsi="宋体" w:cs="宋体"/>
          <w:color w:val="auto"/>
          <w:sz w:val="24"/>
          <w:szCs w:val="24"/>
        </w:rPr>
        <w:t>±0.</w:t>
      </w: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F.S.</w:t>
      </w:r>
    </w:p>
    <w:p w14:paraId="266BA58E">
      <w:pPr>
        <w:spacing w:line="360" w:lineRule="auto"/>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2.</w:t>
      </w:r>
      <w:r>
        <w:rPr>
          <w:rFonts w:ascii="宋体" w:hAnsi="宋体" w:cs="宋体"/>
          <w:color w:val="auto"/>
          <w:sz w:val="24"/>
          <w:szCs w:val="24"/>
        </w:rPr>
        <w:t>直流电流测量</w:t>
      </w:r>
      <w:r>
        <w:rPr>
          <w:rFonts w:hint="eastAsia" w:ascii="宋体" w:hAnsi="宋体" w:cs="宋体"/>
          <w:color w:val="auto"/>
          <w:sz w:val="24"/>
          <w:szCs w:val="24"/>
        </w:rPr>
        <w:t>：量程</w:t>
      </w:r>
      <w:r>
        <w:rPr>
          <w:rFonts w:ascii="宋体" w:hAnsi="宋体" w:cs="宋体"/>
          <w:color w:val="auto"/>
          <w:sz w:val="24"/>
          <w:szCs w:val="24"/>
        </w:rPr>
        <w:t>：0～</w:t>
      </w:r>
      <w:r>
        <w:rPr>
          <w:rFonts w:hint="eastAsia" w:ascii="宋体" w:hAnsi="宋体" w:cs="宋体"/>
          <w:color w:val="auto"/>
          <w:sz w:val="24"/>
          <w:szCs w:val="24"/>
        </w:rPr>
        <w:t>10</w:t>
      </w:r>
      <w:r>
        <w:rPr>
          <w:rFonts w:ascii="宋体" w:hAnsi="宋体" w:cs="宋体"/>
          <w:color w:val="auto"/>
          <w:sz w:val="24"/>
          <w:szCs w:val="24"/>
        </w:rPr>
        <w:t>00A</w:t>
      </w:r>
      <w:r>
        <w:rPr>
          <w:rFonts w:hint="eastAsia" w:ascii="宋体" w:hAnsi="宋体" w:cs="宋体"/>
          <w:color w:val="auto"/>
          <w:sz w:val="24"/>
          <w:szCs w:val="24"/>
        </w:rPr>
        <w:t>，</w:t>
      </w:r>
      <w:r>
        <w:rPr>
          <w:rFonts w:ascii="宋体" w:hAnsi="宋体" w:cs="宋体"/>
          <w:color w:val="auto"/>
          <w:sz w:val="24"/>
          <w:szCs w:val="24"/>
        </w:rPr>
        <w:t>准确测量范围：1A～</w:t>
      </w:r>
      <w:r>
        <w:rPr>
          <w:rFonts w:hint="eastAsia" w:ascii="宋体" w:hAnsi="宋体" w:cs="宋体"/>
          <w:color w:val="auto"/>
          <w:sz w:val="24"/>
          <w:szCs w:val="24"/>
        </w:rPr>
        <w:t>10</w:t>
      </w:r>
      <w:r>
        <w:rPr>
          <w:rFonts w:ascii="宋体" w:hAnsi="宋体" w:cs="宋体"/>
          <w:color w:val="auto"/>
          <w:sz w:val="24"/>
          <w:szCs w:val="24"/>
        </w:rPr>
        <w:t>00A</w:t>
      </w:r>
      <w:r>
        <w:rPr>
          <w:rFonts w:hint="eastAsia" w:ascii="宋体" w:hAnsi="宋体" w:cs="宋体"/>
          <w:color w:val="auto"/>
          <w:sz w:val="24"/>
          <w:szCs w:val="24"/>
        </w:rPr>
        <w:t>，</w:t>
      </w:r>
      <w:r>
        <w:rPr>
          <w:rFonts w:ascii="宋体" w:hAnsi="宋体" w:cs="宋体"/>
          <w:color w:val="auto"/>
          <w:sz w:val="24"/>
          <w:szCs w:val="24"/>
        </w:rPr>
        <w:t>准确度：</w:t>
      </w:r>
      <w:r>
        <w:rPr>
          <w:rFonts w:hint="eastAsia" w:ascii="宋体" w:hAnsi="宋体" w:cs="宋体"/>
          <w:color w:val="auto"/>
          <w:sz w:val="24"/>
          <w:szCs w:val="24"/>
        </w:rPr>
        <w:t>≤</w:t>
      </w:r>
      <w:r>
        <w:rPr>
          <w:rFonts w:ascii="宋体" w:hAnsi="宋体" w:cs="宋体"/>
          <w:color w:val="auto"/>
          <w:sz w:val="24"/>
          <w:szCs w:val="24"/>
        </w:rPr>
        <w:t>±0.</w:t>
      </w:r>
      <w:r>
        <w:rPr>
          <w:rFonts w:hint="eastAsia" w:ascii="宋体" w:hAnsi="宋体" w:cs="宋体"/>
          <w:color w:val="auto"/>
          <w:sz w:val="24"/>
          <w:szCs w:val="24"/>
        </w:rPr>
        <w:t>2</w:t>
      </w:r>
      <w:r>
        <w:rPr>
          <w:rFonts w:ascii="宋体" w:hAnsi="宋体" w:cs="宋体"/>
          <w:color w:val="auto"/>
          <w:sz w:val="24"/>
          <w:szCs w:val="24"/>
        </w:rPr>
        <w:t>%</w:t>
      </w:r>
      <w:r>
        <w:rPr>
          <w:rFonts w:hint="eastAsia" w:ascii="宋体" w:hAnsi="宋体" w:cs="宋体"/>
          <w:color w:val="auto"/>
          <w:sz w:val="24"/>
          <w:szCs w:val="24"/>
        </w:rPr>
        <w:t>F.S.</w:t>
      </w:r>
    </w:p>
    <w:p w14:paraId="0ABAF80E">
      <w:pPr>
        <w:spacing w:line="360" w:lineRule="auto"/>
        <w:rPr>
          <w:rFonts w:ascii="Times New Roman" w:hAnsi="Times New Roman" w:cs="Times New Roman"/>
          <w:color w:val="auto"/>
          <w:szCs w:val="21"/>
        </w:rPr>
      </w:pPr>
      <w:r>
        <w:rPr>
          <w:rFonts w:hint="eastAsia" w:ascii="宋体" w:hAnsi="宋体"/>
          <w:color w:val="auto"/>
          <w:sz w:val="24"/>
          <w:szCs w:val="24"/>
        </w:rPr>
        <w:t>▲</w:t>
      </w:r>
      <w:r>
        <w:rPr>
          <w:rFonts w:hint="eastAsia" w:ascii="宋体" w:hAnsi="宋体" w:cs="宋体"/>
          <w:color w:val="auto"/>
          <w:sz w:val="24"/>
          <w:szCs w:val="24"/>
        </w:rPr>
        <w:t>3.设备可采集充电电压、充电电流、车辆电池电压、C1C2开关信号、CC1电压、CC2电压、开关S1状态、辅助电源、电子锁等参数，信号采样率不低于100k/s；控制导引电路电压测量精度不低于</w:t>
      </w:r>
      <w:r>
        <w:rPr>
          <w:rFonts w:ascii="宋体" w:hAnsi="宋体" w:cs="宋体"/>
          <w:color w:val="auto"/>
          <w:sz w:val="24"/>
          <w:szCs w:val="24"/>
        </w:rPr>
        <w:t>±0.5%RD</w:t>
      </w:r>
      <w:r>
        <w:rPr>
          <w:rFonts w:hint="eastAsia" w:ascii="宋体" w:hAnsi="宋体" w:cs="宋体"/>
          <w:color w:val="auto"/>
          <w:sz w:val="24"/>
          <w:szCs w:val="24"/>
        </w:rPr>
        <w:t>；</w:t>
      </w:r>
    </w:p>
    <w:p w14:paraId="41CADECB">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w:t>
      </w:r>
      <w:r>
        <w:rPr>
          <w:rFonts w:hint="eastAsia" w:ascii="宋体" w:hAnsi="宋体" w:cs="宋体"/>
          <w:b/>
          <w:bCs/>
          <w:color w:val="auto"/>
          <w:sz w:val="24"/>
          <w:szCs w:val="24"/>
          <w:lang w:eastAsia="zh-CN"/>
        </w:rPr>
        <w:t>）</w:t>
      </w:r>
      <w:r>
        <w:rPr>
          <w:rFonts w:hint="eastAsia" w:ascii="宋体" w:hAnsi="宋体" w:cs="宋体"/>
          <w:color w:val="auto"/>
          <w:sz w:val="24"/>
          <w:szCs w:val="24"/>
        </w:rPr>
        <w:t>4.设备内置BMS模拟器，并带CAN通讯报文采集模块，兼容GB/T27930-2023的A类和B类两种通信协与GB/T27930.2-2024通信协议；CAN总线报文和充电回路与控制引导电路的电压电流等</w:t>
      </w:r>
      <w:r>
        <w:rPr>
          <w:rFonts w:hint="eastAsia" w:ascii="宋体" w:hAnsi="宋体"/>
          <w:color w:val="auto"/>
          <w:sz w:val="24"/>
          <w:szCs w:val="24"/>
        </w:rPr>
        <w:t>数据波形参数同步采集</w:t>
      </w:r>
      <w:r>
        <w:rPr>
          <w:rFonts w:hint="eastAsia" w:ascii="宋体" w:hAnsi="宋体" w:cs="宋体"/>
          <w:color w:val="auto"/>
          <w:sz w:val="24"/>
          <w:szCs w:val="24"/>
        </w:rPr>
        <w:t>；</w:t>
      </w:r>
    </w:p>
    <w:p w14:paraId="1ED1E3F2">
      <w:pPr>
        <w:spacing w:line="360" w:lineRule="auto"/>
        <w:rPr>
          <w:rFonts w:ascii="Times New Roman" w:hAnsi="Times New Roman"/>
          <w:color w:val="auto"/>
          <w:szCs w:val="21"/>
        </w:rPr>
      </w:pPr>
      <w:r>
        <w:rPr>
          <w:rFonts w:hint="eastAsia" w:ascii="宋体" w:hAnsi="宋体"/>
          <w:color w:val="auto"/>
          <w:sz w:val="24"/>
          <w:szCs w:val="24"/>
        </w:rPr>
        <w:t>▲5.可模拟直流供电回路绝缘对称和非对称故障，</w:t>
      </w:r>
      <w:r>
        <w:rPr>
          <w:rFonts w:ascii="宋体" w:hAnsi="宋体"/>
          <w:color w:val="auto"/>
          <w:sz w:val="24"/>
          <w:szCs w:val="24"/>
        </w:rPr>
        <w:t>阻值</w:t>
      </w:r>
      <w:r>
        <w:rPr>
          <w:rFonts w:hint="eastAsia" w:ascii="宋体" w:hAnsi="宋体"/>
          <w:color w:val="auto"/>
          <w:sz w:val="24"/>
          <w:szCs w:val="24"/>
        </w:rPr>
        <w:t>量程不低于1M</w:t>
      </w:r>
      <w:r>
        <w:rPr>
          <w:rFonts w:ascii="宋体" w:hAnsi="宋体"/>
          <w:color w:val="auto"/>
          <w:sz w:val="24"/>
          <w:szCs w:val="24"/>
        </w:rPr>
        <w:t>Ω</w:t>
      </w:r>
      <w:r>
        <w:rPr>
          <w:rFonts w:hint="eastAsia" w:ascii="宋体" w:hAnsi="宋体"/>
          <w:color w:val="auto"/>
          <w:sz w:val="24"/>
          <w:szCs w:val="24"/>
        </w:rPr>
        <w:t>，电阻精度不低3%，程控分档可调或步进可调；</w:t>
      </w:r>
    </w:p>
    <w:p w14:paraId="7522785A">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w:t>
      </w:r>
      <w:r>
        <w:rPr>
          <w:rFonts w:hint="eastAsia" w:ascii="宋体" w:hAnsi="宋体" w:cs="宋体"/>
          <w:b/>
          <w:bCs/>
          <w:color w:val="auto"/>
          <w:sz w:val="24"/>
          <w:szCs w:val="24"/>
          <w:lang w:eastAsia="zh-CN"/>
        </w:rPr>
        <w:t>）</w:t>
      </w:r>
      <w:r>
        <w:rPr>
          <w:rFonts w:hint="eastAsia" w:ascii="宋体" w:hAnsi="宋体" w:cs="宋体"/>
          <w:color w:val="auto"/>
          <w:sz w:val="24"/>
          <w:szCs w:val="24"/>
        </w:rPr>
        <w:t>6.</w:t>
      </w:r>
      <w:r>
        <w:rPr>
          <w:rFonts w:ascii="宋体" w:hAnsi="宋体" w:cs="宋体"/>
          <w:color w:val="auto"/>
          <w:sz w:val="24"/>
          <w:szCs w:val="24"/>
        </w:rPr>
        <w:t>内部具备控制导引相关故障模拟电路及测量电路</w:t>
      </w:r>
      <w:r>
        <w:rPr>
          <w:rFonts w:hint="eastAsia" w:ascii="宋体" w:hAnsi="宋体" w:cs="宋体"/>
          <w:color w:val="auto"/>
          <w:sz w:val="24"/>
          <w:szCs w:val="24"/>
        </w:rPr>
        <w:t>；</w:t>
      </w:r>
    </w:p>
    <w:p w14:paraId="467012CD">
      <w:pPr>
        <w:spacing w:line="360" w:lineRule="auto"/>
        <w:rPr>
          <w:rFonts w:ascii="宋体" w:hAnsi="宋体" w:cs="宋体"/>
          <w:color w:val="auto"/>
          <w:sz w:val="24"/>
          <w:szCs w:val="24"/>
        </w:rPr>
      </w:pPr>
      <w:r>
        <w:rPr>
          <w:rFonts w:hint="eastAsia" w:ascii="宋体" w:hAnsi="宋体"/>
          <w:color w:val="auto"/>
          <w:sz w:val="24"/>
          <w:szCs w:val="24"/>
        </w:rPr>
        <w:t>▲</w:t>
      </w:r>
      <w:r>
        <w:rPr>
          <w:rFonts w:ascii="宋体" w:hAnsi="宋体" w:cs="宋体"/>
          <w:color w:val="auto"/>
          <w:sz w:val="24"/>
          <w:szCs w:val="24"/>
        </w:rPr>
        <w:t>9.可使用笔记本</w:t>
      </w:r>
      <w:r>
        <w:rPr>
          <w:rFonts w:hint="eastAsia" w:ascii="宋体" w:hAnsi="宋体" w:cs="宋体"/>
          <w:color w:val="auto"/>
          <w:sz w:val="24"/>
          <w:szCs w:val="24"/>
        </w:rPr>
        <w:t>或</w:t>
      </w:r>
      <w:r>
        <w:rPr>
          <w:rFonts w:ascii="宋体" w:hAnsi="宋体" w:cs="宋体"/>
          <w:color w:val="auto"/>
          <w:sz w:val="24"/>
          <w:szCs w:val="24"/>
        </w:rPr>
        <w:t>平板电脑</w:t>
      </w:r>
      <w:r>
        <w:rPr>
          <w:rFonts w:hint="eastAsia" w:ascii="宋体" w:hAnsi="宋体" w:cs="宋体"/>
          <w:color w:val="auto"/>
          <w:sz w:val="24"/>
          <w:szCs w:val="24"/>
        </w:rPr>
        <w:t>无线</w:t>
      </w:r>
      <w:r>
        <w:rPr>
          <w:rFonts w:ascii="宋体" w:hAnsi="宋体" w:cs="宋体"/>
          <w:color w:val="auto"/>
          <w:sz w:val="24"/>
          <w:szCs w:val="24"/>
        </w:rPr>
        <w:t>远程控制，实现所有功能测试</w:t>
      </w:r>
      <w:r>
        <w:rPr>
          <w:rFonts w:hint="eastAsia" w:ascii="宋体" w:hAnsi="宋体" w:cs="宋体"/>
          <w:color w:val="auto"/>
          <w:sz w:val="24"/>
          <w:szCs w:val="24"/>
        </w:rPr>
        <w:t xml:space="preserve">； </w:t>
      </w:r>
    </w:p>
    <w:p w14:paraId="548E10EC">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w:t>
      </w:r>
      <w:r>
        <w:rPr>
          <w:rFonts w:hint="eastAsia" w:ascii="宋体" w:hAnsi="宋体" w:cs="宋体"/>
          <w:b/>
          <w:bCs/>
          <w:color w:val="auto"/>
          <w:sz w:val="24"/>
          <w:szCs w:val="24"/>
          <w:lang w:eastAsia="zh-CN"/>
        </w:rPr>
        <w:t>）</w:t>
      </w:r>
      <w:r>
        <w:rPr>
          <w:rFonts w:hint="eastAsia" w:ascii="宋体" w:hAnsi="宋体" w:cs="宋体"/>
          <w:color w:val="auto"/>
          <w:sz w:val="24"/>
          <w:szCs w:val="24"/>
        </w:rPr>
        <w:t>10.</w:t>
      </w:r>
      <w:r>
        <w:rPr>
          <w:rFonts w:ascii="宋体" w:hAnsi="宋体" w:cs="宋体"/>
          <w:color w:val="auto"/>
          <w:sz w:val="24"/>
          <w:szCs w:val="24"/>
        </w:rPr>
        <w:t>设备采用标准模块化设计，可安装于标准机柜</w:t>
      </w:r>
      <w:r>
        <w:rPr>
          <w:rFonts w:hint="eastAsia" w:ascii="宋体" w:hAnsi="宋体" w:cs="宋体"/>
          <w:color w:val="auto"/>
          <w:sz w:val="24"/>
          <w:szCs w:val="24"/>
        </w:rPr>
        <w:t>；</w:t>
      </w:r>
    </w:p>
    <w:p w14:paraId="692C0E64">
      <w:pPr>
        <w:pStyle w:val="10"/>
        <w:spacing w:after="0" w:line="360" w:lineRule="auto"/>
        <w:ind w:left="0" w:leftChars="0" w:firstLine="0" w:firstLineChars="0"/>
        <w:jc w:val="both"/>
        <w:rPr>
          <w:rFonts w:ascii="宋体" w:hAnsi="宋体"/>
          <w:color w:val="auto"/>
          <w:sz w:val="24"/>
          <w:szCs w:val="24"/>
        </w:rPr>
      </w:pPr>
      <w:r>
        <w:rPr>
          <w:rFonts w:hint="eastAsia" w:ascii="宋体" w:hAnsi="宋体" w:cs="宋体"/>
          <w:b/>
          <w:bCs/>
          <w:color w:val="auto"/>
          <w:sz w:val="24"/>
          <w:szCs w:val="24"/>
        </w:rPr>
        <w:t>★</w:t>
      </w:r>
      <w:r>
        <w:rPr>
          <w:rFonts w:hint="eastAsia" w:ascii="宋体" w:hAnsi="宋体"/>
          <w:color w:val="auto"/>
          <w:sz w:val="24"/>
          <w:szCs w:val="24"/>
        </w:rPr>
        <w:t>11.设备采用双通道设计，通道1的接口模拟功能指标：</w:t>
      </w:r>
      <w:bookmarkStart w:id="2" w:name="OLE_LINK8"/>
    </w:p>
    <w:p w14:paraId="5A30F84E">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w:t>
      </w:r>
      <w:r>
        <w:rPr>
          <w:rFonts w:hint="eastAsia" w:ascii="宋体" w:hAnsi="宋体" w:cs="宋体"/>
          <w:b/>
          <w:bCs/>
          <w:color w:val="auto"/>
          <w:sz w:val="24"/>
          <w:szCs w:val="24"/>
          <w:lang w:eastAsia="zh-CN"/>
        </w:rPr>
        <w:t>）</w:t>
      </w:r>
      <w:r>
        <w:rPr>
          <w:rFonts w:hint="eastAsia" w:ascii="宋体" w:hAnsi="宋体"/>
          <w:color w:val="auto"/>
          <w:sz w:val="24"/>
          <w:szCs w:val="24"/>
        </w:rPr>
        <w:t>11.1 设备内部元件与导线按</w:t>
      </w:r>
      <w:r>
        <w:rPr>
          <w:rFonts w:hint="eastAsia" w:ascii="宋体" w:hAnsi="宋体" w:cs="宋体"/>
          <w:color w:val="auto"/>
          <w:sz w:val="24"/>
          <w:szCs w:val="24"/>
        </w:rPr>
        <w:t>最高</w:t>
      </w:r>
      <w:r>
        <w:rPr>
          <w:rFonts w:ascii="宋体" w:hAnsi="宋体" w:cs="宋体"/>
          <w:color w:val="auto"/>
          <w:sz w:val="24"/>
          <w:szCs w:val="24"/>
        </w:rPr>
        <w:t>电</w:t>
      </w:r>
      <w:r>
        <w:rPr>
          <w:rFonts w:hint="eastAsia" w:ascii="宋体" w:hAnsi="宋体" w:cs="宋体"/>
          <w:color w:val="auto"/>
          <w:sz w:val="24"/>
          <w:szCs w:val="24"/>
        </w:rPr>
        <w:t>压不低于</w:t>
      </w:r>
      <w:r>
        <w:rPr>
          <w:rFonts w:ascii="宋体" w:hAnsi="宋体" w:cs="宋体"/>
          <w:color w:val="auto"/>
          <w:sz w:val="24"/>
          <w:szCs w:val="24"/>
        </w:rPr>
        <w:t>1</w:t>
      </w:r>
      <w:r>
        <w:rPr>
          <w:rFonts w:hint="eastAsia" w:ascii="宋体" w:hAnsi="宋体" w:cs="宋体"/>
          <w:color w:val="auto"/>
          <w:sz w:val="24"/>
          <w:szCs w:val="24"/>
        </w:rPr>
        <w:t>5</w:t>
      </w:r>
      <w:r>
        <w:rPr>
          <w:rFonts w:ascii="宋体" w:hAnsi="宋体" w:cs="宋体"/>
          <w:color w:val="auto"/>
          <w:sz w:val="24"/>
          <w:szCs w:val="24"/>
        </w:rPr>
        <w:t>00V</w:t>
      </w:r>
      <w:r>
        <w:rPr>
          <w:rFonts w:hint="eastAsia" w:ascii="宋体" w:hAnsi="宋体" w:cs="宋体"/>
          <w:color w:val="auto"/>
          <w:sz w:val="24"/>
          <w:szCs w:val="24"/>
        </w:rPr>
        <w:t>，最大</w:t>
      </w:r>
      <w:r>
        <w:rPr>
          <w:rFonts w:ascii="宋体" w:hAnsi="宋体" w:cs="宋体"/>
          <w:color w:val="auto"/>
          <w:sz w:val="24"/>
          <w:szCs w:val="24"/>
        </w:rPr>
        <w:t>电流</w:t>
      </w:r>
      <w:r>
        <w:rPr>
          <w:rFonts w:hint="eastAsia" w:ascii="宋体" w:hAnsi="宋体" w:cs="宋体"/>
          <w:color w:val="auto"/>
          <w:sz w:val="24"/>
          <w:szCs w:val="24"/>
        </w:rPr>
        <w:t>不低于10</w:t>
      </w:r>
      <w:r>
        <w:rPr>
          <w:rFonts w:ascii="宋体" w:hAnsi="宋体" w:cs="宋体"/>
          <w:color w:val="auto"/>
          <w:sz w:val="24"/>
          <w:szCs w:val="24"/>
        </w:rPr>
        <w:t>00A</w:t>
      </w:r>
      <w:r>
        <w:rPr>
          <w:rFonts w:hint="eastAsia" w:ascii="宋体" w:hAnsi="宋体"/>
          <w:color w:val="auto"/>
          <w:sz w:val="24"/>
          <w:szCs w:val="24"/>
        </w:rPr>
        <w:t xml:space="preserve"> 设计，</w:t>
      </w:r>
      <w:r>
        <w:rPr>
          <w:rFonts w:hint="eastAsia" w:ascii="宋体" w:hAnsi="宋体" w:cs="宋体"/>
          <w:color w:val="auto"/>
          <w:sz w:val="24"/>
          <w:szCs w:val="24"/>
        </w:rPr>
        <w:t>枪</w:t>
      </w:r>
      <w:r>
        <w:rPr>
          <w:rFonts w:ascii="宋体" w:hAnsi="宋体" w:cs="宋体"/>
          <w:color w:val="auto"/>
          <w:sz w:val="24"/>
          <w:szCs w:val="24"/>
        </w:rPr>
        <w:t>座</w:t>
      </w:r>
      <w:r>
        <w:rPr>
          <w:rFonts w:hint="eastAsia" w:ascii="宋体" w:hAnsi="宋体"/>
          <w:color w:val="auto"/>
          <w:sz w:val="24"/>
          <w:szCs w:val="24"/>
        </w:rPr>
        <w:t>可按800A选取；</w:t>
      </w:r>
    </w:p>
    <w:p w14:paraId="23B2AA58">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ascii="宋体" w:hAnsi="宋体" w:cs="宋体"/>
          <w:color w:val="auto"/>
          <w:sz w:val="24"/>
          <w:szCs w:val="24"/>
        </w:rPr>
        <w:t>2设备带有两个标准充电枪插座，</w:t>
      </w:r>
      <w:r>
        <w:rPr>
          <w:rFonts w:hint="eastAsia" w:ascii="宋体" w:hAnsi="宋体" w:cs="宋体"/>
          <w:color w:val="auto"/>
          <w:sz w:val="24"/>
          <w:szCs w:val="24"/>
        </w:rPr>
        <w:t>两</w:t>
      </w:r>
      <w:r>
        <w:rPr>
          <w:rFonts w:ascii="宋体" w:hAnsi="宋体" w:cs="宋体"/>
          <w:color w:val="auto"/>
          <w:sz w:val="24"/>
          <w:szCs w:val="24"/>
        </w:rPr>
        <w:t>插座定义</w:t>
      </w:r>
      <w:r>
        <w:rPr>
          <w:rFonts w:hint="eastAsia" w:ascii="宋体" w:hAnsi="宋体" w:cs="宋体"/>
          <w:color w:val="auto"/>
          <w:sz w:val="24"/>
          <w:szCs w:val="24"/>
        </w:rPr>
        <w:t>分别</w:t>
      </w:r>
      <w:r>
        <w:rPr>
          <w:rFonts w:ascii="宋体" w:hAnsi="宋体" w:cs="宋体"/>
          <w:color w:val="auto"/>
          <w:sz w:val="24"/>
          <w:szCs w:val="24"/>
        </w:rPr>
        <w:t>满足GB/T 20234.3-2023和GB/T 20234.4-2023标准规定的要求</w:t>
      </w:r>
      <w:r>
        <w:rPr>
          <w:rFonts w:hint="eastAsia" w:ascii="宋体" w:hAnsi="宋体" w:cs="宋体"/>
          <w:color w:val="auto"/>
          <w:sz w:val="24"/>
          <w:szCs w:val="24"/>
        </w:rPr>
        <w:t>；</w:t>
      </w:r>
    </w:p>
    <w:p w14:paraId="183DBBED">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3 兼容GB/T18487.1-2023附录B、附录C以及GB/T18487.5-2024三种控制导引电路；</w:t>
      </w:r>
    </w:p>
    <w:p w14:paraId="135F314B">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4 兼容GB/T27930-2023的A类和B类与GB/T27930.2-2024通信通信协议；</w:t>
      </w:r>
    </w:p>
    <w:p w14:paraId="45F2B495">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 xml:space="preserve">5 </w:t>
      </w:r>
      <w:r>
        <w:rPr>
          <w:rFonts w:ascii="宋体" w:hAnsi="宋体" w:cs="宋体"/>
          <w:color w:val="auto"/>
          <w:sz w:val="24"/>
          <w:szCs w:val="24"/>
        </w:rPr>
        <w:t>具备绝缘故障模拟功能</w:t>
      </w:r>
      <w:r>
        <w:rPr>
          <w:rFonts w:hint="eastAsia" w:ascii="宋体" w:hAnsi="宋体" w:cs="宋体"/>
          <w:color w:val="auto"/>
          <w:sz w:val="24"/>
          <w:szCs w:val="24"/>
        </w:rPr>
        <w:t>，多档位可设；</w:t>
      </w:r>
    </w:p>
    <w:p w14:paraId="0B0683A9">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6 散热：</w:t>
      </w:r>
      <w:r>
        <w:rPr>
          <w:rFonts w:ascii="宋体" w:hAnsi="宋体" w:cs="宋体"/>
          <w:color w:val="auto"/>
          <w:sz w:val="24"/>
          <w:szCs w:val="24"/>
        </w:rPr>
        <w:t>内置风冷，支持液冷枪的接入</w:t>
      </w:r>
      <w:r>
        <w:rPr>
          <w:rFonts w:hint="eastAsia" w:ascii="宋体" w:hAnsi="宋体" w:cs="宋体"/>
          <w:color w:val="auto"/>
          <w:sz w:val="24"/>
          <w:szCs w:val="24"/>
        </w:rPr>
        <w:t>；</w:t>
      </w:r>
    </w:p>
    <w:p w14:paraId="13F5A178">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 xml:space="preserve">7 </w:t>
      </w:r>
      <w:r>
        <w:rPr>
          <w:rFonts w:ascii="宋体" w:hAnsi="宋体" w:cs="宋体"/>
          <w:color w:val="auto"/>
          <w:sz w:val="24"/>
          <w:szCs w:val="24"/>
        </w:rPr>
        <w:t>可实现模拟车辆直流充电接口电路，具备DC+、DC-、PE、S+、S-、CC1、CC2、A+、A-等引脚连接线的抽头引出端口</w:t>
      </w:r>
      <w:r>
        <w:rPr>
          <w:rFonts w:hint="eastAsia" w:ascii="宋体" w:hAnsi="宋体" w:cs="宋体"/>
          <w:color w:val="auto"/>
          <w:sz w:val="24"/>
          <w:szCs w:val="24"/>
        </w:rPr>
        <w:t>；</w:t>
      </w:r>
    </w:p>
    <w:p w14:paraId="51403F7A">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w:t>
      </w:r>
      <w:r>
        <w:rPr>
          <w:rFonts w:hint="eastAsia" w:ascii="宋体" w:hAnsi="宋体" w:cs="宋体"/>
          <w:b/>
          <w:bCs/>
          <w:color w:val="auto"/>
          <w:sz w:val="24"/>
          <w:szCs w:val="24"/>
          <w:lang w:eastAsia="zh-CN"/>
        </w:rPr>
        <w:t>）</w:t>
      </w:r>
      <w:r>
        <w:rPr>
          <w:rFonts w:hint="eastAsia" w:ascii="宋体" w:hAnsi="宋体"/>
          <w:color w:val="auto"/>
          <w:sz w:val="24"/>
          <w:szCs w:val="24"/>
        </w:rPr>
        <w:t>11.</w:t>
      </w:r>
      <w:r>
        <w:rPr>
          <w:rFonts w:hint="eastAsia" w:ascii="宋体" w:hAnsi="宋体" w:cs="宋体"/>
          <w:color w:val="auto"/>
          <w:sz w:val="24"/>
          <w:szCs w:val="24"/>
        </w:rPr>
        <w:t xml:space="preserve">8 </w:t>
      </w:r>
      <w:r>
        <w:rPr>
          <w:rFonts w:ascii="宋体" w:hAnsi="宋体" w:cs="宋体"/>
          <w:color w:val="auto"/>
          <w:sz w:val="24"/>
          <w:szCs w:val="24"/>
        </w:rPr>
        <w:t>设备带有电子锁、温湿度采集等信号拓展接口</w:t>
      </w:r>
      <w:r>
        <w:rPr>
          <w:rFonts w:hint="eastAsia" w:ascii="宋体" w:hAnsi="宋体" w:cs="宋体"/>
          <w:color w:val="auto"/>
          <w:sz w:val="24"/>
          <w:szCs w:val="24"/>
        </w:rPr>
        <w:t>；</w:t>
      </w:r>
    </w:p>
    <w:p w14:paraId="28CFFEB8">
      <w:pPr>
        <w:pStyle w:val="10"/>
        <w:spacing w:after="0" w:line="360" w:lineRule="auto"/>
        <w:ind w:left="0" w:leftChars="0" w:firstLine="0" w:firstLineChars="0"/>
        <w:jc w:val="both"/>
        <w:rPr>
          <w:rFonts w:ascii="宋体" w:hAnsi="宋体"/>
          <w:color w:val="auto"/>
          <w:sz w:val="24"/>
          <w:szCs w:val="24"/>
        </w:rPr>
      </w:pPr>
      <w:r>
        <w:rPr>
          <w:rFonts w:hint="eastAsia" w:ascii="宋体" w:hAnsi="宋体"/>
          <w:color w:val="auto"/>
          <w:sz w:val="24"/>
          <w:szCs w:val="24"/>
        </w:rPr>
        <w:t>▲12.设备采用双通道设计，通道2的接口模拟功能指标：</w:t>
      </w:r>
    </w:p>
    <w:p w14:paraId="4E6B92B0">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w:t>
      </w:r>
      <w:r>
        <w:rPr>
          <w:rFonts w:hint="eastAsia" w:ascii="宋体" w:hAnsi="宋体" w:cs="宋体"/>
          <w:b/>
          <w:bCs/>
          <w:color w:val="auto"/>
          <w:sz w:val="24"/>
          <w:szCs w:val="24"/>
          <w:lang w:eastAsia="zh-CN"/>
        </w:rPr>
        <w:t>）</w:t>
      </w:r>
      <w:r>
        <w:rPr>
          <w:rFonts w:hint="eastAsia" w:ascii="宋体" w:hAnsi="宋体" w:cs="宋体"/>
          <w:color w:val="auto"/>
          <w:sz w:val="24"/>
          <w:szCs w:val="24"/>
        </w:rPr>
        <w:t>12.1 输入范围：0～1500V；</w:t>
      </w:r>
    </w:p>
    <w:p w14:paraId="0FE74C79">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w:t>
      </w:r>
      <w:r>
        <w:rPr>
          <w:rFonts w:hint="eastAsia" w:ascii="宋体" w:hAnsi="宋体" w:cs="宋体"/>
          <w:b/>
          <w:bCs/>
          <w:color w:val="auto"/>
          <w:sz w:val="24"/>
          <w:szCs w:val="24"/>
          <w:lang w:eastAsia="zh-CN"/>
        </w:rPr>
        <w:t>）</w:t>
      </w:r>
      <w:r>
        <w:rPr>
          <w:rFonts w:hint="eastAsia" w:ascii="宋体" w:hAnsi="宋体" w:cs="宋体"/>
          <w:color w:val="auto"/>
          <w:sz w:val="24"/>
          <w:szCs w:val="24"/>
        </w:rPr>
        <w:t>12.2 输入范围：0～1000A；（</w:t>
      </w:r>
      <w:bookmarkStart w:id="3" w:name="OLE_LINK28"/>
      <w:r>
        <w:rPr>
          <w:rFonts w:hint="eastAsia" w:ascii="宋体" w:hAnsi="宋体" w:cs="宋体"/>
          <w:color w:val="auto"/>
          <w:sz w:val="24"/>
          <w:szCs w:val="24"/>
        </w:rPr>
        <w:t>枪</w:t>
      </w:r>
      <w:bookmarkEnd w:id="3"/>
      <w:r>
        <w:rPr>
          <w:rFonts w:hint="eastAsia" w:ascii="宋体" w:hAnsi="宋体" w:cs="宋体"/>
          <w:color w:val="auto"/>
          <w:sz w:val="24"/>
          <w:szCs w:val="24"/>
        </w:rPr>
        <w:t>座可用800A）</w:t>
      </w:r>
    </w:p>
    <w:p w14:paraId="376D6BF7">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w:t>
      </w:r>
      <w:r>
        <w:rPr>
          <w:rFonts w:hint="eastAsia" w:ascii="宋体" w:hAnsi="宋体" w:cs="宋体"/>
          <w:b/>
          <w:bCs/>
          <w:color w:val="auto"/>
          <w:sz w:val="24"/>
          <w:szCs w:val="24"/>
          <w:lang w:eastAsia="zh-CN"/>
        </w:rPr>
        <w:t>）</w:t>
      </w:r>
      <w:r>
        <w:rPr>
          <w:rFonts w:hint="eastAsia" w:ascii="宋体" w:hAnsi="宋体" w:cs="宋体"/>
          <w:color w:val="auto"/>
          <w:sz w:val="24"/>
          <w:szCs w:val="24"/>
        </w:rPr>
        <w:t>12.3 具备GB/T20234.3-2023和GB/T20234.4-2023两种超充接口；</w:t>
      </w:r>
    </w:p>
    <w:p w14:paraId="7BD3AA6F">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w:t>
      </w:r>
      <w:r>
        <w:rPr>
          <w:rFonts w:hint="eastAsia" w:ascii="宋体" w:hAnsi="宋体" w:cs="宋体"/>
          <w:b/>
          <w:bCs/>
          <w:color w:val="auto"/>
          <w:sz w:val="24"/>
          <w:szCs w:val="24"/>
          <w:lang w:eastAsia="zh-CN"/>
        </w:rPr>
        <w:t>）</w:t>
      </w:r>
      <w:r>
        <w:rPr>
          <w:rFonts w:hint="eastAsia" w:ascii="宋体" w:hAnsi="宋体" w:cs="宋体"/>
          <w:color w:val="auto"/>
          <w:sz w:val="24"/>
          <w:szCs w:val="24"/>
        </w:rPr>
        <w:t>12.4 具有充电桩输出端所有信号引出端子，包括DC+、DC-、PE、S+\S-、A+\A-、CC1、CC2信号；</w:t>
      </w:r>
    </w:p>
    <w:p w14:paraId="023E5E03">
      <w:pPr>
        <w:spacing w:line="360" w:lineRule="auto"/>
        <w:rPr>
          <w:rFonts w:ascii="宋体" w:hAnsi="宋体" w:cs="宋体"/>
          <w:color w:val="auto"/>
          <w:sz w:val="24"/>
          <w:szCs w:val="24"/>
        </w:rPr>
      </w:pPr>
      <w:bookmarkStart w:id="4" w:name="OLE_LINK24"/>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评审指标16</w:t>
      </w:r>
      <w:r>
        <w:rPr>
          <w:rFonts w:hint="eastAsia" w:ascii="宋体" w:hAnsi="宋体" w:cs="宋体"/>
          <w:b/>
          <w:bCs/>
          <w:color w:val="auto"/>
          <w:sz w:val="24"/>
          <w:szCs w:val="24"/>
          <w:lang w:eastAsia="zh-CN"/>
        </w:rPr>
        <w:t>）</w:t>
      </w:r>
      <w:r>
        <w:rPr>
          <w:rFonts w:hint="eastAsia" w:ascii="宋体" w:hAnsi="宋体" w:cs="宋体"/>
          <w:color w:val="auto"/>
          <w:sz w:val="24"/>
          <w:szCs w:val="24"/>
        </w:rPr>
        <w:t>12.5</w:t>
      </w:r>
      <w:bookmarkEnd w:id="4"/>
      <w:r>
        <w:rPr>
          <w:rFonts w:hint="eastAsia" w:ascii="宋体" w:hAnsi="宋体" w:cs="宋体"/>
          <w:color w:val="auto"/>
          <w:sz w:val="24"/>
          <w:szCs w:val="24"/>
        </w:rPr>
        <w:t xml:space="preserve"> 具备电压、电流、功率测量功能；</w:t>
      </w:r>
    </w:p>
    <w:p w14:paraId="2DA94BF8">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评审指标17</w:t>
      </w:r>
      <w:r>
        <w:rPr>
          <w:rFonts w:hint="eastAsia" w:ascii="宋体" w:hAnsi="宋体" w:cs="宋体"/>
          <w:b/>
          <w:bCs/>
          <w:color w:val="auto"/>
          <w:sz w:val="24"/>
          <w:szCs w:val="24"/>
          <w:lang w:eastAsia="zh-CN"/>
        </w:rPr>
        <w:t>）</w:t>
      </w:r>
      <w:r>
        <w:rPr>
          <w:rFonts w:hint="eastAsia" w:ascii="宋体" w:hAnsi="宋体" w:cs="宋体"/>
          <w:color w:val="auto"/>
          <w:sz w:val="24"/>
          <w:szCs w:val="24"/>
        </w:rPr>
        <w:t>12.6 具备充电桩CC1电压、CC2电压、A+\A-辅助电源电压测量功能；</w:t>
      </w:r>
    </w:p>
    <w:bookmarkEnd w:id="2"/>
    <w:p w14:paraId="52D42962">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13.</w:t>
      </w:r>
      <w:r>
        <w:rPr>
          <w:rFonts w:hint="eastAsia" w:ascii="宋体" w:hAnsi="宋体"/>
          <w:color w:val="auto"/>
          <w:sz w:val="24"/>
          <w:szCs w:val="24"/>
        </w:rPr>
        <w:t>具备控制双通道负载功率动态分配功能，分配容量不低于1500V/1000A，可实现双通道同时带载使用，</w:t>
      </w:r>
      <w:r>
        <w:rPr>
          <w:rFonts w:hint="eastAsia" w:ascii="宋体" w:hAnsi="宋体" w:cs="宋体"/>
          <w:color w:val="auto"/>
          <w:sz w:val="24"/>
          <w:szCs w:val="24"/>
        </w:rPr>
        <w:t>需满足GB 39752-2024 中7.4.10 多车辆插头的直流供电设备模块切换试验</w:t>
      </w:r>
      <w:r>
        <w:rPr>
          <w:rFonts w:hint="eastAsia" w:ascii="宋体" w:hAnsi="宋体"/>
          <w:color w:val="auto"/>
          <w:sz w:val="24"/>
          <w:szCs w:val="24"/>
        </w:rPr>
        <w:t>。单通道使用可时满功率带载，通道1需完成本标书要求的相关试验项目；</w:t>
      </w:r>
    </w:p>
    <w:p w14:paraId="30447F9A">
      <w:pPr>
        <w:pStyle w:val="10"/>
        <w:spacing w:after="0" w:line="360" w:lineRule="auto"/>
        <w:ind w:left="0" w:leftChars="0" w:firstLine="0" w:firstLineChars="0"/>
        <w:jc w:val="both"/>
        <w:rPr>
          <w:rFonts w:ascii="宋体" w:hAnsi="宋体" w:cs="宋体"/>
          <w:color w:val="auto"/>
          <w:sz w:val="24"/>
          <w:szCs w:val="24"/>
        </w:rPr>
      </w:pPr>
      <w:r>
        <w:rPr>
          <w:rFonts w:hint="eastAsia" w:ascii="宋体" w:hAnsi="宋体"/>
          <w:color w:val="auto"/>
          <w:sz w:val="24"/>
          <w:szCs w:val="24"/>
        </w:rPr>
        <w:t>▲14.设备具备</w:t>
      </w:r>
      <w:r>
        <w:rPr>
          <w:rFonts w:ascii="宋体" w:hAnsi="宋体"/>
          <w:color w:val="auto"/>
          <w:sz w:val="24"/>
          <w:szCs w:val="24"/>
        </w:rPr>
        <w:t>电池电压模拟</w:t>
      </w:r>
      <w:r>
        <w:rPr>
          <w:rFonts w:hint="eastAsia" w:ascii="宋体" w:hAnsi="宋体"/>
          <w:color w:val="auto"/>
          <w:sz w:val="24"/>
          <w:szCs w:val="24"/>
        </w:rPr>
        <w:t>功能，</w:t>
      </w:r>
      <w:r>
        <w:rPr>
          <w:rFonts w:ascii="宋体" w:hAnsi="宋体"/>
          <w:color w:val="auto"/>
          <w:sz w:val="24"/>
          <w:szCs w:val="24"/>
        </w:rPr>
        <w:t>电压范围：</w:t>
      </w:r>
      <w:r>
        <w:rPr>
          <w:rFonts w:hint="eastAsia" w:ascii="宋体" w:hAnsi="宋体"/>
          <w:color w:val="auto"/>
          <w:sz w:val="24"/>
          <w:szCs w:val="24"/>
        </w:rPr>
        <w:t>5</w:t>
      </w:r>
      <w:r>
        <w:rPr>
          <w:rFonts w:ascii="宋体" w:hAnsi="宋体"/>
          <w:color w:val="auto"/>
          <w:sz w:val="24"/>
          <w:szCs w:val="24"/>
        </w:rPr>
        <w:t>0V～1500V</w:t>
      </w:r>
      <w:r>
        <w:rPr>
          <w:rFonts w:hint="eastAsia" w:ascii="宋体" w:hAnsi="宋体"/>
          <w:color w:val="auto"/>
          <w:sz w:val="24"/>
          <w:szCs w:val="24"/>
        </w:rPr>
        <w:t>，具备</w:t>
      </w:r>
      <w:r>
        <w:rPr>
          <w:rFonts w:ascii="宋体" w:hAnsi="宋体"/>
          <w:color w:val="auto"/>
          <w:sz w:val="24"/>
          <w:szCs w:val="24"/>
        </w:rPr>
        <w:t>远程控制接口</w:t>
      </w:r>
      <w:r>
        <w:rPr>
          <w:rFonts w:hint="eastAsia" w:ascii="宋体" w:hAnsi="宋体"/>
          <w:color w:val="auto"/>
          <w:sz w:val="24"/>
          <w:szCs w:val="24"/>
        </w:rPr>
        <w:t>，具备</w:t>
      </w:r>
      <w:r>
        <w:rPr>
          <w:rFonts w:ascii="宋体" w:hAnsi="宋体"/>
          <w:color w:val="auto"/>
          <w:sz w:val="24"/>
          <w:szCs w:val="24"/>
        </w:rPr>
        <w:t>急停</w:t>
      </w:r>
      <w:r>
        <w:rPr>
          <w:rFonts w:hint="eastAsia" w:ascii="宋体" w:hAnsi="宋体"/>
          <w:color w:val="auto"/>
          <w:sz w:val="24"/>
          <w:szCs w:val="24"/>
        </w:rPr>
        <w:t>、</w:t>
      </w:r>
      <w:r>
        <w:rPr>
          <w:rFonts w:ascii="宋体" w:hAnsi="宋体"/>
          <w:color w:val="auto"/>
          <w:sz w:val="24"/>
          <w:szCs w:val="24"/>
        </w:rPr>
        <w:t>防反灌，防短路</w:t>
      </w:r>
      <w:r>
        <w:rPr>
          <w:rFonts w:hint="eastAsia" w:ascii="宋体" w:hAnsi="宋体"/>
          <w:color w:val="auto"/>
          <w:sz w:val="24"/>
          <w:szCs w:val="24"/>
        </w:rPr>
        <w:t>功能，</w:t>
      </w:r>
      <w:r>
        <w:rPr>
          <w:rFonts w:ascii="宋体" w:hAnsi="宋体"/>
          <w:color w:val="auto"/>
          <w:sz w:val="24"/>
          <w:szCs w:val="24"/>
        </w:rPr>
        <w:t>纹波</w:t>
      </w: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w:t>
      </w:r>
      <w:r>
        <w:rPr>
          <w:rFonts w:hint="eastAsia" w:ascii="宋体" w:hAnsi="宋体" w:cs="宋体"/>
          <w:color w:val="auto"/>
          <w:sz w:val="24"/>
          <w:szCs w:val="24"/>
        </w:rPr>
        <w:t>精度不低于±</w:t>
      </w:r>
      <w:r>
        <w:rPr>
          <w:rFonts w:ascii="宋体" w:hAnsi="宋体" w:cs="宋体"/>
          <w:color w:val="auto"/>
          <w:sz w:val="24"/>
          <w:szCs w:val="24"/>
        </w:rPr>
        <w:t>1%</w:t>
      </w:r>
      <w:r>
        <w:rPr>
          <w:rFonts w:hint="eastAsia" w:ascii="宋体" w:hAnsi="宋体" w:cs="宋体"/>
          <w:color w:val="auto"/>
          <w:sz w:val="24"/>
          <w:szCs w:val="24"/>
        </w:rPr>
        <w:t>，</w:t>
      </w:r>
      <w:r>
        <w:rPr>
          <w:rFonts w:ascii="宋体" w:hAnsi="宋体"/>
          <w:color w:val="auto"/>
          <w:sz w:val="24"/>
          <w:szCs w:val="24"/>
        </w:rPr>
        <w:t>带载能力</w:t>
      </w:r>
      <w:r>
        <w:rPr>
          <w:rFonts w:hint="eastAsia" w:ascii="宋体" w:hAnsi="宋体"/>
          <w:color w:val="auto"/>
          <w:sz w:val="24"/>
          <w:szCs w:val="24"/>
        </w:rPr>
        <w:t>不低于200mA</w:t>
      </w:r>
      <w:r>
        <w:rPr>
          <w:rFonts w:hint="eastAsia" w:ascii="宋体" w:hAnsi="宋体" w:cs="宋体"/>
          <w:color w:val="auto"/>
          <w:sz w:val="24"/>
          <w:szCs w:val="24"/>
        </w:rPr>
        <w:t>；</w:t>
      </w:r>
    </w:p>
    <w:p w14:paraId="4EDFF91B">
      <w:pPr>
        <w:widowControl/>
        <w:spacing w:line="360" w:lineRule="auto"/>
        <w:jc w:val="left"/>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15.具备电容耦合测量功能，可完成</w:t>
      </w:r>
      <w:r>
        <w:rPr>
          <w:rFonts w:ascii="宋体" w:hAnsi="宋体" w:cs="宋体"/>
          <w:color w:val="auto"/>
          <w:sz w:val="24"/>
          <w:szCs w:val="24"/>
        </w:rPr>
        <w:t>GB 44263-2024</w:t>
      </w:r>
      <w:r>
        <w:rPr>
          <w:rFonts w:hint="eastAsia" w:ascii="宋体" w:hAnsi="宋体" w:cs="宋体"/>
          <w:color w:val="auto"/>
          <w:sz w:val="24"/>
          <w:szCs w:val="24"/>
        </w:rPr>
        <w:t>中</w:t>
      </w:r>
      <w:r>
        <w:rPr>
          <w:rFonts w:ascii="宋体" w:hAnsi="宋体" w:cs="宋体"/>
          <w:color w:val="auto"/>
          <w:sz w:val="24"/>
          <w:szCs w:val="24"/>
        </w:rPr>
        <w:t>9.6.1.3</w:t>
      </w:r>
      <w:r>
        <w:rPr>
          <w:rFonts w:hint="eastAsia" w:ascii="宋体" w:hAnsi="宋体" w:cs="宋体"/>
          <w:color w:val="auto"/>
          <w:sz w:val="24"/>
          <w:szCs w:val="24"/>
        </w:rPr>
        <w:t xml:space="preserve"> 电容耦合的测量与能量计算。</w:t>
      </w:r>
      <w:r>
        <w:rPr>
          <w:rFonts w:ascii="宋体" w:hAnsi="宋体" w:cs="宋体"/>
          <w:color w:val="auto"/>
          <w:sz w:val="24"/>
          <w:szCs w:val="24"/>
        </w:rPr>
        <w:t>电压范围</w:t>
      </w:r>
      <w:r>
        <w:rPr>
          <w:rFonts w:hint="eastAsia" w:ascii="宋体" w:hAnsi="宋体" w:cs="宋体"/>
          <w:color w:val="auto"/>
          <w:sz w:val="24"/>
          <w:szCs w:val="24"/>
        </w:rPr>
        <w:t>50</w:t>
      </w:r>
      <w:r>
        <w:rPr>
          <w:rFonts w:ascii="宋体" w:hAnsi="宋体" w:cs="宋体"/>
          <w:color w:val="auto"/>
          <w:sz w:val="24"/>
          <w:szCs w:val="24"/>
        </w:rPr>
        <w:t>-1</w:t>
      </w:r>
      <w:r>
        <w:rPr>
          <w:rFonts w:hint="eastAsia" w:ascii="宋体" w:hAnsi="宋体" w:cs="宋体"/>
          <w:color w:val="auto"/>
          <w:sz w:val="24"/>
          <w:szCs w:val="24"/>
        </w:rPr>
        <w:t>5</w:t>
      </w:r>
      <w:r>
        <w:rPr>
          <w:rFonts w:ascii="宋体" w:hAnsi="宋体" w:cs="宋体"/>
          <w:color w:val="auto"/>
          <w:sz w:val="24"/>
          <w:szCs w:val="24"/>
        </w:rPr>
        <w:t>00V</w:t>
      </w:r>
      <w:r>
        <w:rPr>
          <w:rFonts w:hint="eastAsia" w:ascii="宋体" w:hAnsi="宋体" w:cs="宋体"/>
          <w:color w:val="auto"/>
          <w:sz w:val="24"/>
          <w:szCs w:val="24"/>
        </w:rPr>
        <w:t>、</w:t>
      </w:r>
      <w:r>
        <w:rPr>
          <w:rFonts w:ascii="宋体" w:hAnsi="宋体" w:cs="宋体"/>
          <w:color w:val="auto"/>
          <w:sz w:val="24"/>
          <w:szCs w:val="24"/>
        </w:rPr>
        <w:t>电压</w:t>
      </w:r>
      <w:r>
        <w:rPr>
          <w:rFonts w:hint="eastAsia" w:ascii="宋体" w:hAnsi="宋体" w:cs="宋体"/>
          <w:color w:val="auto"/>
          <w:sz w:val="24"/>
          <w:szCs w:val="24"/>
        </w:rPr>
        <w:t>测量</w:t>
      </w:r>
      <w:r>
        <w:rPr>
          <w:rFonts w:ascii="宋体" w:hAnsi="宋体" w:cs="宋体"/>
          <w:color w:val="auto"/>
          <w:sz w:val="24"/>
          <w:szCs w:val="24"/>
        </w:rPr>
        <w:t>精度</w:t>
      </w:r>
      <w:r>
        <w:rPr>
          <w:rFonts w:hint="eastAsia" w:ascii="宋体" w:hAnsi="宋体" w:cs="宋体"/>
          <w:color w:val="auto"/>
          <w:sz w:val="24"/>
          <w:szCs w:val="24"/>
        </w:rPr>
        <w:t>不低于±</w:t>
      </w:r>
      <w:r>
        <w:rPr>
          <w:rFonts w:ascii="宋体" w:hAnsi="宋体" w:cs="宋体"/>
          <w:color w:val="auto"/>
          <w:sz w:val="24"/>
          <w:szCs w:val="24"/>
        </w:rPr>
        <w:t>0.2%</w:t>
      </w:r>
      <w:r>
        <w:rPr>
          <w:rFonts w:hint="eastAsia" w:ascii="宋体" w:hAnsi="宋体" w:cs="宋体"/>
          <w:color w:val="auto"/>
          <w:sz w:val="24"/>
          <w:szCs w:val="24"/>
        </w:rPr>
        <w:t>FS、电容时测试精度不低于1.9% +2。</w:t>
      </w:r>
    </w:p>
    <w:p w14:paraId="01646990">
      <w:pPr>
        <w:spacing w:line="360" w:lineRule="auto"/>
        <w:ind w:left="720" w:hanging="720"/>
        <w:rPr>
          <w:rFonts w:ascii="宋体" w:hAnsi="宋体" w:cs="仿宋"/>
          <w:b/>
          <w:color w:val="auto"/>
          <w:sz w:val="24"/>
          <w:szCs w:val="24"/>
        </w:rPr>
      </w:pPr>
      <w:r>
        <w:rPr>
          <w:rFonts w:hint="eastAsia" w:ascii="宋体" w:hAnsi="宋体" w:cs="宋体"/>
          <w:b/>
          <w:bCs/>
          <w:color w:val="auto"/>
          <w:sz w:val="24"/>
          <w:szCs w:val="24"/>
        </w:rPr>
        <w:t>（二）</w:t>
      </w:r>
      <w:r>
        <w:rPr>
          <w:rFonts w:hint="eastAsia" w:ascii="宋体" w:hAnsi="宋体" w:cs="仿宋"/>
          <w:b/>
          <w:color w:val="auto"/>
          <w:sz w:val="24"/>
          <w:szCs w:val="24"/>
        </w:rPr>
        <w:t>示波器：</w:t>
      </w:r>
    </w:p>
    <w:p w14:paraId="04326A3F">
      <w:pPr>
        <w:pStyle w:val="10"/>
        <w:spacing w:after="0" w:line="360" w:lineRule="auto"/>
        <w:ind w:left="0" w:leftChars="0" w:firstLine="0" w:firstLineChars="0"/>
        <w:rPr>
          <w:rFonts w:ascii="宋体" w:hAnsi="宋体"/>
          <w:color w:val="auto"/>
          <w:sz w:val="24"/>
          <w:szCs w:val="24"/>
        </w:rPr>
      </w:pPr>
      <w:r>
        <w:rPr>
          <w:rFonts w:hint="eastAsia" w:ascii="宋体" w:hAnsi="宋体"/>
          <w:color w:val="auto"/>
          <w:sz w:val="24"/>
          <w:szCs w:val="24"/>
        </w:rPr>
        <w:t>▲1.带宽：≥100MHz；</w:t>
      </w:r>
    </w:p>
    <w:p w14:paraId="1D229775">
      <w:pPr>
        <w:pStyle w:val="10"/>
        <w:spacing w:after="0" w:line="360" w:lineRule="auto"/>
        <w:ind w:left="0" w:leftChars="0" w:firstLine="0" w:firstLineChars="0"/>
        <w:rPr>
          <w:rFonts w:ascii="宋体" w:hAnsi="宋体"/>
          <w:color w:val="auto"/>
          <w:sz w:val="24"/>
          <w:szCs w:val="24"/>
        </w:rPr>
      </w:pPr>
      <w:r>
        <w:rPr>
          <w:rFonts w:hint="eastAsia" w:ascii="宋体" w:hAnsi="宋体"/>
          <w:color w:val="auto"/>
          <w:sz w:val="24"/>
          <w:szCs w:val="24"/>
        </w:rPr>
        <w:t>▲2.通道数：≥4；</w:t>
      </w:r>
    </w:p>
    <w:p w14:paraId="531914B0">
      <w:pPr>
        <w:pStyle w:val="10"/>
        <w:spacing w:after="0" w:line="360" w:lineRule="auto"/>
        <w:ind w:left="0" w:leftChars="0" w:firstLine="0" w:firstLineChars="0"/>
        <w:rPr>
          <w:rFonts w:ascii="宋体" w:hAnsi="宋体"/>
          <w:color w:val="auto"/>
          <w:sz w:val="24"/>
          <w:szCs w:val="24"/>
        </w:rPr>
      </w:pPr>
      <w:r>
        <w:rPr>
          <w:rFonts w:hint="eastAsia" w:ascii="宋体" w:hAnsi="宋体" w:cs="宋体"/>
          <w:b/>
          <w:bCs/>
          <w:color w:val="auto"/>
          <w:sz w:val="24"/>
          <w:szCs w:val="24"/>
        </w:rPr>
        <w:t>★</w:t>
      </w:r>
      <w:r>
        <w:rPr>
          <w:rFonts w:hint="eastAsia" w:ascii="宋体" w:hAnsi="宋体"/>
          <w:color w:val="auto"/>
          <w:sz w:val="24"/>
          <w:szCs w:val="24"/>
        </w:rPr>
        <w:t>3.采样率：≥2.5GSa/s；</w:t>
      </w:r>
    </w:p>
    <w:p w14:paraId="043B92CC">
      <w:pPr>
        <w:pStyle w:val="10"/>
        <w:spacing w:after="0" w:line="360" w:lineRule="auto"/>
        <w:ind w:left="0" w:leftChars="0" w:firstLine="0" w:firstLineChars="0"/>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所有通道上10M点的记录长度</w:t>
      </w:r>
      <w:r>
        <w:rPr>
          <w:rFonts w:hint="eastAsia" w:ascii="宋体" w:hAnsi="宋体"/>
          <w:color w:val="auto"/>
          <w:sz w:val="24"/>
          <w:szCs w:val="24"/>
        </w:rPr>
        <w:t>；</w:t>
      </w:r>
    </w:p>
    <w:p w14:paraId="7C7B58A6">
      <w:pPr>
        <w:pStyle w:val="10"/>
        <w:spacing w:after="0" w:line="360" w:lineRule="auto"/>
        <w:ind w:left="0" w:leftChars="0" w:firstLine="0" w:firstLineChars="0"/>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最大波形捕获速率</w:t>
      </w:r>
      <w:r>
        <w:rPr>
          <w:rFonts w:hint="eastAsia" w:ascii="宋体" w:hAnsi="宋体"/>
          <w:color w:val="auto"/>
          <w:sz w:val="24"/>
          <w:szCs w:val="24"/>
        </w:rPr>
        <w:t>≥</w:t>
      </w:r>
      <w:r>
        <w:rPr>
          <w:rFonts w:ascii="宋体" w:hAnsi="宋体"/>
          <w:color w:val="auto"/>
          <w:sz w:val="24"/>
          <w:szCs w:val="24"/>
        </w:rPr>
        <w:t>280000 wfm/s</w:t>
      </w:r>
      <w:r>
        <w:rPr>
          <w:rFonts w:hint="eastAsia" w:ascii="宋体" w:hAnsi="宋体"/>
          <w:color w:val="auto"/>
          <w:sz w:val="24"/>
          <w:szCs w:val="24"/>
        </w:rPr>
        <w:t>；</w:t>
      </w:r>
    </w:p>
    <w:p w14:paraId="2304CF85">
      <w:pPr>
        <w:pStyle w:val="10"/>
        <w:spacing w:after="0" w:line="360" w:lineRule="auto"/>
        <w:ind w:left="0" w:leftChars="0" w:firstLine="0" w:firstLineChars="0"/>
        <w:rPr>
          <w:rFonts w:ascii="宋体" w:hAnsi="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评审指标18</w:t>
      </w:r>
      <w:r>
        <w:rPr>
          <w:rFonts w:hint="eastAsia" w:ascii="宋体" w:hAnsi="宋体" w:cs="宋体"/>
          <w:b/>
          <w:bCs/>
          <w:color w:val="auto"/>
          <w:sz w:val="24"/>
          <w:szCs w:val="24"/>
          <w:lang w:eastAsia="zh-CN"/>
        </w:rPr>
        <w:t>）</w:t>
      </w:r>
      <w:r>
        <w:rPr>
          <w:rFonts w:hint="eastAsia" w:ascii="宋体" w:hAnsi="宋体"/>
          <w:color w:val="auto"/>
          <w:sz w:val="24"/>
          <w:szCs w:val="24"/>
        </w:rPr>
        <w:t>6.显示屏：不小于</w:t>
      </w:r>
      <w:r>
        <w:rPr>
          <w:rFonts w:ascii="宋体" w:hAnsi="宋体"/>
          <w:color w:val="auto"/>
          <w:sz w:val="24"/>
          <w:szCs w:val="24"/>
        </w:rPr>
        <w:t>9英寸</w:t>
      </w:r>
      <w:r>
        <w:rPr>
          <w:rFonts w:hint="eastAsia" w:ascii="宋体" w:hAnsi="宋体"/>
          <w:color w:val="auto"/>
          <w:sz w:val="24"/>
          <w:szCs w:val="24"/>
        </w:rPr>
        <w:t>的</w:t>
      </w:r>
      <w:r>
        <w:rPr>
          <w:rFonts w:ascii="宋体" w:hAnsi="宋体"/>
          <w:color w:val="auto"/>
          <w:sz w:val="24"/>
          <w:szCs w:val="24"/>
        </w:rPr>
        <w:t>WVGA 宽屏彩色显示器</w:t>
      </w:r>
    </w:p>
    <w:p w14:paraId="0A99D47F">
      <w:pPr>
        <w:pStyle w:val="10"/>
        <w:spacing w:after="0" w:line="360" w:lineRule="auto"/>
        <w:ind w:left="0" w:leftChars="0" w:firstLine="0" w:firstLineChars="0"/>
        <w:rPr>
          <w:rFonts w:ascii="宋体" w:hAnsi="宋体"/>
          <w:color w:val="auto"/>
          <w:sz w:val="24"/>
          <w:szCs w:val="24"/>
        </w:rPr>
      </w:pPr>
      <w:r>
        <w:rPr>
          <w:rFonts w:hint="eastAsia" w:ascii="宋体" w:hAnsi="宋体"/>
          <w:color w:val="auto"/>
          <w:sz w:val="24"/>
          <w:szCs w:val="24"/>
        </w:rPr>
        <w:t>▲7.配置2个1500V高压差分探头；</w:t>
      </w:r>
    </w:p>
    <w:p w14:paraId="4A79C1EF">
      <w:pPr>
        <w:pStyle w:val="10"/>
        <w:spacing w:after="0" w:line="360" w:lineRule="auto"/>
        <w:ind w:left="0" w:leftChars="0" w:firstLine="0" w:firstLineChars="0"/>
        <w:rPr>
          <w:rFonts w:ascii="宋体" w:hAnsi="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评审指标19</w:t>
      </w:r>
      <w:r>
        <w:rPr>
          <w:rFonts w:hint="eastAsia" w:ascii="宋体" w:hAnsi="宋体" w:cs="宋体"/>
          <w:b/>
          <w:bCs/>
          <w:color w:val="auto"/>
          <w:sz w:val="24"/>
          <w:szCs w:val="24"/>
          <w:lang w:eastAsia="zh-CN"/>
        </w:rPr>
        <w:t>）</w:t>
      </w:r>
      <w:r>
        <w:rPr>
          <w:rFonts w:hint="eastAsia" w:ascii="宋体" w:hAnsi="宋体"/>
          <w:color w:val="auto"/>
          <w:sz w:val="24"/>
          <w:szCs w:val="24"/>
        </w:rPr>
        <w:t>8.提供安装工装，可内嵌于标准机柜安装；</w:t>
      </w:r>
    </w:p>
    <w:p w14:paraId="3C11D7B3">
      <w:pPr>
        <w:pStyle w:val="10"/>
        <w:spacing w:after="0" w:line="360" w:lineRule="auto"/>
        <w:ind w:left="0" w:leftChars="0" w:firstLine="0" w:firstLineChars="0"/>
        <w:jc w:val="both"/>
        <w:rPr>
          <w:rFonts w:ascii="宋体" w:hAnsi="宋体"/>
          <w:color w:val="auto"/>
          <w:sz w:val="24"/>
          <w:szCs w:val="24"/>
        </w:rPr>
      </w:pPr>
      <w:r>
        <w:rPr>
          <w:rFonts w:hint="eastAsia" w:ascii="宋体" w:hAnsi="宋体"/>
          <w:color w:val="auto"/>
          <w:sz w:val="24"/>
          <w:szCs w:val="24"/>
        </w:rPr>
        <w:t>▲9.示波器与超充综合测试系统进行集成，通过集控软件自动调用控制，无需手动设置。</w:t>
      </w:r>
    </w:p>
    <w:p w14:paraId="138CBAC2">
      <w:pPr>
        <w:spacing w:line="360" w:lineRule="auto"/>
        <w:ind w:left="720" w:hanging="720"/>
        <w:rPr>
          <w:rFonts w:ascii="宋体" w:hAnsi="宋体" w:cs="仿宋"/>
          <w:b/>
          <w:bCs/>
          <w:color w:val="auto"/>
          <w:sz w:val="24"/>
          <w:szCs w:val="24"/>
        </w:rPr>
      </w:pPr>
      <w:r>
        <w:rPr>
          <w:rFonts w:hint="eastAsia" w:ascii="宋体" w:hAnsi="宋体" w:cs="宋体"/>
          <w:b/>
          <w:bCs/>
          <w:color w:val="auto"/>
          <w:sz w:val="24"/>
          <w:szCs w:val="24"/>
        </w:rPr>
        <w:t>（三）</w:t>
      </w:r>
      <w:r>
        <w:rPr>
          <w:rFonts w:hint="eastAsia" w:ascii="宋体" w:hAnsi="宋体" w:cs="仿宋"/>
          <w:b/>
          <w:bCs/>
          <w:color w:val="auto"/>
          <w:sz w:val="24"/>
          <w:szCs w:val="24"/>
        </w:rPr>
        <w:t>双向直流电源：</w:t>
      </w:r>
    </w:p>
    <w:p w14:paraId="18E557F4">
      <w:pPr>
        <w:spacing w:line="360" w:lineRule="auto"/>
        <w:rPr>
          <w:rFonts w:ascii="宋体" w:hAnsi="宋体" w:cs="宋体"/>
          <w:color w:val="auto"/>
          <w:sz w:val="24"/>
          <w:szCs w:val="24"/>
        </w:rPr>
      </w:pPr>
      <w:bookmarkStart w:id="5" w:name="_Hlk195079184"/>
      <w:r>
        <w:rPr>
          <w:rFonts w:hint="eastAsia" w:ascii="宋体" w:hAnsi="宋体" w:cs="宋体"/>
          <w:b/>
          <w:bCs/>
          <w:color w:val="auto"/>
          <w:sz w:val="24"/>
          <w:szCs w:val="24"/>
        </w:rPr>
        <w:t>★</w:t>
      </w:r>
      <w:r>
        <w:rPr>
          <w:rFonts w:hint="eastAsia" w:ascii="宋体" w:hAnsi="宋体" w:cs="宋体"/>
          <w:color w:val="auto"/>
          <w:sz w:val="24"/>
          <w:szCs w:val="24"/>
        </w:rPr>
        <w:t>1.总功率不低于1200KW，由两台600kW并机组成，满足双枪独立带载需求；</w:t>
      </w:r>
    </w:p>
    <w:p w14:paraId="316BFD50">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评审指标20</w:t>
      </w:r>
      <w:r>
        <w:rPr>
          <w:rFonts w:hint="eastAsia" w:ascii="宋体" w:hAnsi="宋体" w:cs="宋体"/>
          <w:b/>
          <w:bCs/>
          <w:color w:val="auto"/>
          <w:sz w:val="24"/>
          <w:szCs w:val="24"/>
          <w:lang w:eastAsia="zh-CN"/>
        </w:rPr>
        <w:t>）</w:t>
      </w:r>
      <w:r>
        <w:rPr>
          <w:rFonts w:hint="eastAsia" w:ascii="宋体" w:hAnsi="宋体" w:cs="宋体"/>
          <w:color w:val="auto"/>
          <w:sz w:val="24"/>
          <w:szCs w:val="24"/>
        </w:rPr>
        <w:t>2.交流侧电压范围：323-437V，额定频率：50/60Hz；</w:t>
      </w:r>
    </w:p>
    <w:p w14:paraId="16E1BF74">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3.直流侧电压范围：</w:t>
      </w:r>
      <w:r>
        <w:rPr>
          <w:rFonts w:ascii="宋体" w:hAnsi="宋体" w:cs="宋体"/>
          <w:color w:val="auto"/>
          <w:sz w:val="24"/>
          <w:szCs w:val="24"/>
        </w:rPr>
        <w:t>24</w:t>
      </w:r>
      <w:r>
        <w:rPr>
          <w:rFonts w:hint="eastAsia" w:ascii="宋体" w:hAnsi="宋体" w:cs="宋体"/>
          <w:color w:val="auto"/>
          <w:sz w:val="24"/>
          <w:szCs w:val="24"/>
        </w:rPr>
        <w:t>-2000V；</w:t>
      </w:r>
    </w:p>
    <w:p w14:paraId="6D7A935D">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4.额定电流：≥1600A；</w:t>
      </w:r>
    </w:p>
    <w:p w14:paraId="127448E7">
      <w:pPr>
        <w:spacing w:line="360" w:lineRule="auto"/>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5.电压精度：≤±0.05%F.S.；</w:t>
      </w:r>
    </w:p>
    <w:p w14:paraId="121D91F9">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6.电流精度：≤±0.1%F.S.，</w:t>
      </w:r>
    </w:p>
    <w:p w14:paraId="1375BEF3">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7.上升时间：≤10ms(10%~90%)，切换时间：≤7ms(-90%~90%切换）</w:t>
      </w:r>
    </w:p>
    <w:p w14:paraId="272B1A50">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评审指标21</w:t>
      </w:r>
      <w:r>
        <w:rPr>
          <w:rFonts w:hint="eastAsia" w:ascii="宋体" w:hAnsi="宋体" w:cs="宋体"/>
          <w:b/>
          <w:bCs/>
          <w:color w:val="auto"/>
          <w:sz w:val="24"/>
          <w:szCs w:val="24"/>
          <w:lang w:eastAsia="zh-CN"/>
        </w:rPr>
        <w:t>）</w:t>
      </w:r>
      <w:r>
        <w:rPr>
          <w:rFonts w:hint="eastAsia" w:ascii="宋体" w:hAnsi="宋体" w:cs="宋体"/>
          <w:color w:val="auto"/>
          <w:sz w:val="24"/>
          <w:szCs w:val="24"/>
        </w:rPr>
        <w:t>8.最大效率: ≥94%；</w:t>
      </w:r>
    </w:p>
    <w:p w14:paraId="3B9D4515">
      <w:pPr>
        <w:spacing w:line="360" w:lineRule="auto"/>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 xml:space="preserve">9.主回路功率管采用IGBT，重量不超过4吨，总尺寸[mm]：小于4500*2000*2100（宽*深*高）； </w:t>
      </w:r>
    </w:p>
    <w:p w14:paraId="1B6FFE30">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10.电池模拟功能:可模拟磷酸铁锂、三元锂、铅酸电池、锰酸锂、钴酸锂、镍氢电池、钛酸锂、等不同电池类型；自定义电池类型，开放 1 阶、2 阶、3 阶 RC电池模型；</w:t>
      </w:r>
    </w:p>
    <w:p w14:paraId="32773CD2">
      <w:pPr>
        <w:spacing w:line="360" w:lineRule="auto"/>
        <w:rPr>
          <w:rFonts w:ascii="宋体" w:hAnsi="宋体" w:cs="宋体"/>
          <w:color w:val="auto"/>
          <w:sz w:val="24"/>
          <w:szCs w:val="24"/>
        </w:rPr>
      </w:pPr>
      <w:r>
        <w:rPr>
          <w:rFonts w:hint="eastAsia" w:ascii="宋体" w:hAnsi="宋体"/>
          <w:color w:val="auto"/>
          <w:sz w:val="24"/>
          <w:szCs w:val="24"/>
        </w:rPr>
        <w:t>▲</w:t>
      </w:r>
      <w:r>
        <w:rPr>
          <w:rFonts w:hint="eastAsia" w:ascii="宋体" w:hAnsi="宋体" w:cs="宋体"/>
          <w:color w:val="auto"/>
          <w:sz w:val="24"/>
          <w:szCs w:val="24"/>
        </w:rPr>
        <w:t>11.IV曲线模拟功能：IV 曲线标准EN50530、Sandia、simple，IV 曲线功能支持PV曲线、曲线扫描、静态序列、动静态MPPT、天气模拟、阴影遮挡、曲线编程、自定义曲线等，开路电压设定范围：24~2000V，短路电流设定范围：0-1600A，模拟填充因子范围：0.25~0.95；</w:t>
      </w:r>
    </w:p>
    <w:p w14:paraId="7A66DC77">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评审指标22</w:t>
      </w:r>
      <w:r>
        <w:rPr>
          <w:rFonts w:hint="eastAsia" w:ascii="宋体" w:hAnsi="宋体" w:cs="宋体"/>
          <w:b/>
          <w:bCs/>
          <w:color w:val="auto"/>
          <w:sz w:val="24"/>
          <w:szCs w:val="24"/>
          <w:lang w:eastAsia="zh-CN"/>
        </w:rPr>
        <w:t>）</w:t>
      </w:r>
      <w:r>
        <w:rPr>
          <w:rFonts w:hint="eastAsia" w:ascii="宋体" w:hAnsi="宋体" w:cs="宋体"/>
          <w:color w:val="auto"/>
          <w:sz w:val="24"/>
          <w:szCs w:val="24"/>
        </w:rPr>
        <w:t>12.编程功能：支持List、Wave、Step、Advanced模式，编程步数：200步，循环范围：0~9999 次，时间范围：0ms~999s，最小编程时间步长：1ms；</w:t>
      </w:r>
    </w:p>
    <w:bookmarkEnd w:id="5"/>
    <w:p w14:paraId="5724C2A1">
      <w:pPr>
        <w:spacing w:line="360" w:lineRule="auto"/>
        <w:ind w:left="720" w:hanging="720"/>
        <w:rPr>
          <w:rFonts w:ascii="宋体" w:hAnsi="宋体" w:cs="仿宋"/>
          <w:b/>
          <w:color w:val="auto"/>
          <w:sz w:val="24"/>
          <w:szCs w:val="24"/>
        </w:rPr>
      </w:pPr>
      <w:r>
        <w:rPr>
          <w:rFonts w:hint="eastAsia" w:ascii="宋体" w:hAnsi="宋体" w:cs="仿宋"/>
          <w:b/>
          <w:color w:val="auto"/>
          <w:sz w:val="24"/>
          <w:szCs w:val="24"/>
        </w:rPr>
        <w:t>（四）直流短路测试装置：</w:t>
      </w:r>
    </w:p>
    <w:p w14:paraId="384B8F01">
      <w:pPr>
        <w:spacing w:line="360" w:lineRule="auto"/>
        <w:rPr>
          <w:rFonts w:ascii="宋体" w:hAnsi="宋体" w:cs="宋体"/>
          <w:bCs/>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1.短路档位需至少包含以下三档：</w:t>
      </w:r>
      <w:bookmarkStart w:id="6" w:name="OLE_LINK5"/>
      <w:r>
        <w:rPr>
          <w:rFonts w:ascii="宋体" w:hAnsi="宋体" w:cs="宋体"/>
          <w:bCs/>
          <w:color w:val="auto"/>
          <w:sz w:val="24"/>
          <w:szCs w:val="24"/>
        </w:rPr>
        <w:t>0</w:t>
      </w:r>
      <w:r>
        <w:rPr>
          <w:rFonts w:hint="eastAsia" w:ascii="宋体" w:hAnsi="宋体" w:cs="宋体"/>
          <w:bCs/>
          <w:color w:val="auto"/>
          <w:sz w:val="24"/>
          <w:szCs w:val="24"/>
        </w:rPr>
        <w:t>Ω，</w:t>
      </w:r>
      <w:r>
        <w:rPr>
          <w:rFonts w:ascii="宋体" w:hAnsi="宋体" w:cs="宋体"/>
          <w:bCs/>
          <w:color w:val="auto"/>
          <w:sz w:val="24"/>
          <w:szCs w:val="24"/>
        </w:rPr>
        <w:t>0.7</w:t>
      </w:r>
      <w:r>
        <w:rPr>
          <w:rFonts w:hint="eastAsia" w:ascii="宋体" w:hAnsi="宋体" w:cs="宋体"/>
          <w:bCs/>
          <w:color w:val="auto"/>
          <w:sz w:val="24"/>
          <w:szCs w:val="24"/>
        </w:rPr>
        <w:t>Ω</w:t>
      </w:r>
      <w:bookmarkEnd w:id="6"/>
      <w:r>
        <w:rPr>
          <w:rFonts w:hint="eastAsia" w:ascii="宋体" w:hAnsi="宋体" w:cs="宋体"/>
          <w:bCs/>
          <w:color w:val="auto"/>
          <w:sz w:val="24"/>
          <w:szCs w:val="24"/>
        </w:rPr>
        <w:t>、</w:t>
      </w:r>
      <w:r>
        <w:rPr>
          <w:rFonts w:ascii="宋体" w:hAnsi="宋体" w:cs="宋体"/>
          <w:bCs/>
          <w:color w:val="auto"/>
          <w:sz w:val="24"/>
          <w:szCs w:val="24"/>
        </w:rPr>
        <w:t>2.5</w:t>
      </w:r>
      <w:r>
        <w:rPr>
          <w:rFonts w:hint="eastAsia" w:ascii="宋体" w:hAnsi="宋体" w:cs="宋体"/>
          <w:bCs/>
          <w:color w:val="auto"/>
          <w:sz w:val="24"/>
          <w:szCs w:val="24"/>
        </w:rPr>
        <w:t>Ω限流回路；</w:t>
      </w:r>
    </w:p>
    <w:p w14:paraId="45B9DE26">
      <w:pPr>
        <w:spacing w:line="360" w:lineRule="auto"/>
        <w:rPr>
          <w:rFonts w:ascii="宋体" w:hAnsi="宋体" w:cs="宋体"/>
          <w:bCs/>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 xml:space="preserve">2. </w:t>
      </w:r>
      <w:r>
        <w:rPr>
          <w:rFonts w:ascii="宋体" w:hAnsi="宋体" w:cs="宋体"/>
          <w:bCs/>
          <w:color w:val="auto"/>
          <w:sz w:val="24"/>
          <w:szCs w:val="24"/>
        </w:rPr>
        <w:t>0</w:t>
      </w:r>
      <w:r>
        <w:rPr>
          <w:rFonts w:hint="eastAsia" w:ascii="宋体" w:hAnsi="宋体" w:cs="宋体"/>
          <w:bCs/>
          <w:color w:val="auto"/>
          <w:sz w:val="24"/>
          <w:szCs w:val="24"/>
        </w:rPr>
        <w:t>Ω档的允差：</w:t>
      </w:r>
      <w:bookmarkStart w:id="7" w:name="OLE_LINK6"/>
      <w:r>
        <w:rPr>
          <w:rFonts w:ascii="宋体" w:hAnsi="宋体" w:cs="宋体"/>
          <w:bCs/>
          <w:color w:val="auto"/>
          <w:sz w:val="24"/>
          <w:szCs w:val="24"/>
        </w:rPr>
        <w:t>15m</w:t>
      </w:r>
      <w:r>
        <w:rPr>
          <w:rFonts w:hint="eastAsia" w:ascii="宋体" w:hAnsi="宋体" w:cs="宋体"/>
          <w:bCs/>
          <w:color w:val="auto"/>
          <w:sz w:val="24"/>
          <w:szCs w:val="24"/>
        </w:rPr>
        <w:t>Ω</w:t>
      </w:r>
      <w:bookmarkEnd w:id="7"/>
      <w:r>
        <w:rPr>
          <w:rFonts w:hint="eastAsia" w:ascii="宋体" w:hAnsi="宋体" w:cs="宋体"/>
          <w:bCs/>
          <w:color w:val="auto"/>
          <w:sz w:val="24"/>
          <w:szCs w:val="24"/>
        </w:rPr>
        <w:t>，其他档位的精度：</w:t>
      </w:r>
      <w:bookmarkStart w:id="8" w:name="OLE_LINK18"/>
      <w:r>
        <w:rPr>
          <w:rFonts w:hint="eastAsia" w:ascii="宋体" w:hAnsi="宋体" w:cs="宋体"/>
          <w:bCs/>
          <w:color w:val="auto"/>
          <w:sz w:val="24"/>
          <w:szCs w:val="24"/>
        </w:rPr>
        <w:t>±3%</w:t>
      </w:r>
      <w:bookmarkEnd w:id="8"/>
      <w:r>
        <w:rPr>
          <w:rFonts w:hint="eastAsia" w:ascii="宋体" w:hAnsi="宋体" w:cs="宋体"/>
          <w:bCs/>
          <w:color w:val="auto"/>
          <w:sz w:val="24"/>
          <w:szCs w:val="24"/>
        </w:rPr>
        <w:t>；</w:t>
      </w:r>
    </w:p>
    <w:p w14:paraId="068C27E8">
      <w:pPr>
        <w:spacing w:line="360" w:lineRule="auto"/>
        <w:rPr>
          <w:rFonts w:ascii="宋体" w:hAnsi="宋体" w:cs="宋体"/>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评审指标23</w:t>
      </w:r>
      <w:r>
        <w:rPr>
          <w:rFonts w:hint="eastAsia" w:ascii="宋体" w:hAnsi="宋体" w:cs="宋体"/>
          <w:b/>
          <w:bCs/>
          <w:color w:val="auto"/>
          <w:sz w:val="24"/>
          <w:szCs w:val="24"/>
          <w:lang w:eastAsia="zh-CN"/>
        </w:rPr>
        <w:t>）</w:t>
      </w:r>
      <w:r>
        <w:rPr>
          <w:rFonts w:hint="eastAsia" w:ascii="宋体" w:hAnsi="宋体" w:cs="宋体"/>
          <w:bCs/>
          <w:color w:val="auto"/>
          <w:sz w:val="24"/>
          <w:szCs w:val="24"/>
        </w:rPr>
        <w:t>4.完善的保护功能：风扇故障，过温，过流</w:t>
      </w:r>
    </w:p>
    <w:p w14:paraId="49E3A96D">
      <w:pPr>
        <w:spacing w:line="360" w:lineRule="auto"/>
        <w:rPr>
          <w:rFonts w:ascii="宋体" w:hAnsi="宋体" w:cs="宋体"/>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评审指标24</w:t>
      </w:r>
      <w:r>
        <w:rPr>
          <w:rFonts w:hint="eastAsia" w:ascii="宋体" w:hAnsi="宋体" w:cs="宋体"/>
          <w:b/>
          <w:bCs/>
          <w:color w:val="auto"/>
          <w:sz w:val="24"/>
          <w:szCs w:val="24"/>
          <w:lang w:eastAsia="zh-CN"/>
        </w:rPr>
        <w:t>）</w:t>
      </w:r>
      <w:r>
        <w:rPr>
          <w:rFonts w:hint="eastAsia" w:ascii="宋体" w:hAnsi="宋体" w:cs="宋体"/>
          <w:bCs/>
          <w:color w:val="auto"/>
          <w:sz w:val="24"/>
          <w:szCs w:val="24"/>
        </w:rPr>
        <w:t>5.可模拟直流短路回路</w:t>
      </w:r>
    </w:p>
    <w:p w14:paraId="3DE792A4">
      <w:pPr>
        <w:spacing w:line="360" w:lineRule="auto"/>
        <w:rPr>
          <w:rFonts w:ascii="宋体" w:hAnsi="宋体" w:cs="宋体"/>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评审指标25</w:t>
      </w:r>
      <w:r>
        <w:rPr>
          <w:rFonts w:hint="eastAsia" w:ascii="宋体" w:hAnsi="宋体" w:cs="宋体"/>
          <w:b/>
          <w:bCs/>
          <w:color w:val="auto"/>
          <w:sz w:val="24"/>
          <w:szCs w:val="24"/>
          <w:lang w:eastAsia="zh-CN"/>
        </w:rPr>
        <w:t>）</w:t>
      </w:r>
      <w:r>
        <w:rPr>
          <w:rFonts w:hint="eastAsia" w:ascii="宋体" w:hAnsi="宋体" w:cs="宋体"/>
          <w:bCs/>
          <w:color w:val="auto"/>
          <w:sz w:val="24"/>
          <w:szCs w:val="24"/>
        </w:rPr>
        <w:t>6.加载自定时断开保护</w:t>
      </w:r>
    </w:p>
    <w:p w14:paraId="77F16176">
      <w:pPr>
        <w:spacing w:line="360" w:lineRule="auto"/>
        <w:rPr>
          <w:rFonts w:ascii="宋体" w:hAnsi="宋体" w:cs="宋体"/>
          <w:bCs/>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评审指标26</w:t>
      </w:r>
      <w:r>
        <w:rPr>
          <w:rFonts w:hint="eastAsia" w:ascii="宋体" w:hAnsi="宋体" w:cs="宋体"/>
          <w:b/>
          <w:bCs/>
          <w:color w:val="auto"/>
          <w:sz w:val="24"/>
          <w:szCs w:val="24"/>
          <w:lang w:eastAsia="zh-CN"/>
        </w:rPr>
        <w:t>）</w:t>
      </w:r>
      <w:r>
        <w:rPr>
          <w:rFonts w:hint="eastAsia" w:ascii="宋体" w:hAnsi="宋体" w:cs="宋体"/>
          <w:bCs/>
          <w:color w:val="auto"/>
          <w:sz w:val="24"/>
          <w:szCs w:val="24"/>
        </w:rPr>
        <w:t>7.具备一键急停断载功能</w:t>
      </w:r>
    </w:p>
    <w:p w14:paraId="0234DB71">
      <w:pPr>
        <w:spacing w:line="360" w:lineRule="auto"/>
        <w:rPr>
          <w:rFonts w:ascii="宋体" w:hAnsi="宋体" w:cs="宋体"/>
          <w:color w:val="auto"/>
          <w:sz w:val="24"/>
          <w:szCs w:val="24"/>
        </w:rPr>
      </w:pPr>
      <w:r>
        <w:rPr>
          <w:rFonts w:hint="eastAsia" w:ascii="宋体" w:hAnsi="宋体" w:cs="宋体"/>
          <w:color w:val="auto"/>
          <w:sz w:val="24"/>
          <w:szCs w:val="24"/>
        </w:rPr>
        <w:t>▲</w:t>
      </w:r>
      <w:r>
        <w:rPr>
          <w:rFonts w:hint="eastAsia" w:ascii="宋体" w:hAnsi="宋体" w:cs="宋体"/>
          <w:bCs/>
          <w:color w:val="auto"/>
          <w:sz w:val="24"/>
          <w:szCs w:val="24"/>
        </w:rPr>
        <w:t>8.适应电压50</w:t>
      </w:r>
      <w:r>
        <w:rPr>
          <w:rFonts w:ascii="宋体" w:hAnsi="宋体" w:cs="宋体"/>
          <w:bCs/>
          <w:color w:val="auto"/>
          <w:sz w:val="24"/>
          <w:szCs w:val="24"/>
        </w:rPr>
        <w:t>-1</w:t>
      </w:r>
      <w:r>
        <w:rPr>
          <w:rFonts w:hint="eastAsia" w:ascii="宋体" w:hAnsi="宋体" w:cs="宋体"/>
          <w:bCs/>
          <w:color w:val="auto"/>
          <w:sz w:val="24"/>
          <w:szCs w:val="24"/>
        </w:rPr>
        <w:t>5</w:t>
      </w:r>
      <w:r>
        <w:rPr>
          <w:rFonts w:ascii="宋体" w:hAnsi="宋体" w:cs="宋体"/>
          <w:bCs/>
          <w:color w:val="auto"/>
          <w:sz w:val="24"/>
          <w:szCs w:val="24"/>
        </w:rPr>
        <w:t>00V</w:t>
      </w:r>
      <w:r>
        <w:rPr>
          <w:rFonts w:hint="eastAsia" w:ascii="宋体" w:hAnsi="宋体" w:cs="宋体"/>
          <w:color w:val="auto"/>
          <w:sz w:val="24"/>
          <w:szCs w:val="24"/>
        </w:rPr>
        <w:t>。</w:t>
      </w:r>
    </w:p>
    <w:p w14:paraId="40D31CFF">
      <w:pPr>
        <w:spacing w:line="360" w:lineRule="auto"/>
        <w:ind w:left="720" w:hanging="720"/>
        <w:rPr>
          <w:rFonts w:ascii="宋体" w:hAnsi="宋体" w:cs="仿宋"/>
          <w:b/>
          <w:bCs/>
          <w:color w:val="auto"/>
          <w:sz w:val="24"/>
          <w:szCs w:val="24"/>
        </w:rPr>
      </w:pPr>
      <w:bookmarkStart w:id="9" w:name="OLE_LINK10"/>
      <w:bookmarkStart w:id="10" w:name="OLE_LINK30"/>
      <w:r>
        <w:rPr>
          <w:rFonts w:hint="eastAsia" w:ascii="宋体" w:hAnsi="宋体" w:cs="仿宋"/>
          <w:b/>
          <w:bCs/>
          <w:color w:val="auto"/>
          <w:sz w:val="24"/>
          <w:szCs w:val="24"/>
        </w:rPr>
        <w:t>（五）</w:t>
      </w:r>
      <w:r>
        <w:rPr>
          <w:rFonts w:ascii="宋体" w:hAnsi="宋体" w:cs="仿宋"/>
          <w:b/>
          <w:bCs/>
          <w:color w:val="auto"/>
          <w:sz w:val="24"/>
          <w:szCs w:val="24"/>
        </w:rPr>
        <w:t>车辆接口温度保护功能试验</w:t>
      </w:r>
      <w:bookmarkEnd w:id="9"/>
      <w:r>
        <w:rPr>
          <w:rFonts w:hint="eastAsia" w:ascii="宋体" w:hAnsi="宋体" w:cs="仿宋"/>
          <w:b/>
          <w:bCs/>
          <w:color w:val="auto"/>
          <w:sz w:val="24"/>
          <w:szCs w:val="24"/>
        </w:rPr>
        <w:t>装置：</w:t>
      </w:r>
    </w:p>
    <w:bookmarkEnd w:id="10"/>
    <w:p w14:paraId="7E0C3D26">
      <w:pPr>
        <w:spacing w:line="360" w:lineRule="auto"/>
        <w:rPr>
          <w:rFonts w:ascii="宋体" w:hAnsi="宋体" w:cs="宋体"/>
          <w:color w:val="auto"/>
          <w:sz w:val="24"/>
          <w:szCs w:val="24"/>
        </w:rPr>
      </w:pPr>
      <w:r>
        <w:rPr>
          <w:rFonts w:hint="eastAsia" w:ascii="宋体" w:hAnsi="宋体" w:cs="宋体"/>
          <w:color w:val="auto"/>
          <w:sz w:val="24"/>
          <w:szCs w:val="24"/>
        </w:rPr>
        <w:t>▲1.温度加热范围：+25℃～+120℃；</w:t>
      </w:r>
    </w:p>
    <w:p w14:paraId="3692DBD5">
      <w:pPr>
        <w:spacing w:line="360" w:lineRule="auto"/>
        <w:rPr>
          <w:rFonts w:ascii="宋体" w:hAnsi="宋体" w:cs="宋体"/>
          <w:color w:val="auto"/>
          <w:sz w:val="24"/>
          <w:szCs w:val="24"/>
        </w:rPr>
      </w:pPr>
      <w:r>
        <w:rPr>
          <w:rFonts w:hint="eastAsia" w:ascii="宋体" w:hAnsi="宋体" w:cs="宋体"/>
          <w:color w:val="auto"/>
          <w:sz w:val="24"/>
          <w:szCs w:val="24"/>
        </w:rPr>
        <w:t>▲2.温度测量范围：-20℃</w:t>
      </w:r>
      <w:bookmarkStart w:id="11" w:name="OLE_LINK3"/>
      <w:r>
        <w:rPr>
          <w:rFonts w:hint="eastAsia" w:ascii="宋体" w:hAnsi="宋体" w:cs="宋体"/>
          <w:color w:val="auto"/>
          <w:sz w:val="24"/>
          <w:szCs w:val="24"/>
        </w:rPr>
        <w:t>～</w:t>
      </w:r>
      <w:bookmarkEnd w:id="11"/>
      <w:r>
        <w:rPr>
          <w:rFonts w:hint="eastAsia" w:ascii="宋体" w:hAnsi="宋体" w:cs="宋体"/>
          <w:color w:val="auto"/>
          <w:sz w:val="24"/>
          <w:szCs w:val="24"/>
        </w:rPr>
        <w:t>+125℃；</w:t>
      </w:r>
    </w:p>
    <w:p w14:paraId="3B084C20">
      <w:pPr>
        <w:spacing w:line="360" w:lineRule="auto"/>
        <w:rPr>
          <w:rFonts w:ascii="宋体" w:hAnsi="宋体" w:cs="宋体"/>
          <w:color w:val="auto"/>
          <w:sz w:val="24"/>
          <w:szCs w:val="24"/>
        </w:rPr>
      </w:pPr>
      <w:r>
        <w:rPr>
          <w:rFonts w:hint="eastAsia" w:ascii="宋体" w:hAnsi="宋体" w:cs="宋体"/>
          <w:color w:val="auto"/>
          <w:sz w:val="24"/>
          <w:szCs w:val="24"/>
        </w:rPr>
        <w:t>▲3.功率调节方式：0～500W智能调节；</w:t>
      </w:r>
    </w:p>
    <w:p w14:paraId="485D47FC">
      <w:pPr>
        <w:spacing w:line="360" w:lineRule="auto"/>
        <w:rPr>
          <w:rFonts w:ascii="宋体" w:hAnsi="宋体" w:cs="宋体"/>
          <w:color w:val="auto"/>
          <w:sz w:val="24"/>
          <w:szCs w:val="24"/>
        </w:rPr>
      </w:pPr>
      <w:r>
        <w:rPr>
          <w:rFonts w:hint="eastAsia" w:ascii="宋体" w:hAnsi="宋体" w:cs="宋体"/>
          <w:color w:val="auto"/>
          <w:sz w:val="24"/>
          <w:szCs w:val="24"/>
        </w:rPr>
        <w:t>▲4.温度测量准确度：±0.5℃；温度加热准确度：±1℃；</w:t>
      </w:r>
    </w:p>
    <w:p w14:paraId="3D9F58A7">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评审指标27</w:t>
      </w:r>
      <w:r>
        <w:rPr>
          <w:rFonts w:hint="eastAsia" w:ascii="宋体" w:hAnsi="宋体" w:cs="宋体"/>
          <w:b/>
          <w:bCs/>
          <w:color w:val="auto"/>
          <w:sz w:val="24"/>
          <w:szCs w:val="24"/>
          <w:lang w:eastAsia="zh-CN"/>
        </w:rPr>
        <w:t>）</w:t>
      </w:r>
      <w:r>
        <w:rPr>
          <w:rFonts w:hint="eastAsia" w:ascii="宋体" w:hAnsi="宋体" w:cs="宋体"/>
          <w:color w:val="auto"/>
          <w:sz w:val="24"/>
          <w:szCs w:val="24"/>
        </w:rPr>
        <w:t>5.枪口测温点需内置于金属接触导体内，不可采用枪座自带的测温点进行测温，该测温点与触点存在空气间隙，测温不准确</w:t>
      </w:r>
    </w:p>
    <w:p w14:paraId="2518CACC">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评审指标28</w:t>
      </w:r>
      <w:r>
        <w:rPr>
          <w:rFonts w:hint="eastAsia" w:ascii="宋体" w:hAnsi="宋体" w:cs="宋体"/>
          <w:b/>
          <w:bCs/>
          <w:color w:val="auto"/>
          <w:sz w:val="24"/>
          <w:szCs w:val="24"/>
          <w:lang w:eastAsia="zh-CN"/>
        </w:rPr>
        <w:t>）</w:t>
      </w:r>
      <w:r>
        <w:rPr>
          <w:rFonts w:hint="eastAsia" w:ascii="宋体" w:hAnsi="宋体" w:cs="宋体"/>
          <w:color w:val="auto"/>
          <w:sz w:val="24"/>
          <w:szCs w:val="24"/>
        </w:rPr>
        <w:t>6.双通道加热通道，实时模拟当前接口的不同温度值；</w:t>
      </w:r>
    </w:p>
    <w:p w14:paraId="4328BC91">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评审指标29</w:t>
      </w:r>
      <w:r>
        <w:rPr>
          <w:rFonts w:hint="eastAsia" w:ascii="宋体" w:hAnsi="宋体" w:cs="宋体"/>
          <w:b/>
          <w:bCs/>
          <w:color w:val="auto"/>
          <w:sz w:val="24"/>
          <w:szCs w:val="24"/>
          <w:lang w:eastAsia="zh-CN"/>
        </w:rPr>
        <w:t>）</w:t>
      </w:r>
      <w:r>
        <w:rPr>
          <w:rFonts w:hint="eastAsia" w:ascii="宋体" w:hAnsi="宋体" w:cs="宋体"/>
          <w:color w:val="auto"/>
          <w:sz w:val="24"/>
          <w:szCs w:val="24"/>
        </w:rPr>
        <w:t>7.自带显示屏，界面简洁，可实时掌握数据变化；</w:t>
      </w:r>
    </w:p>
    <w:p w14:paraId="0CD6D2F5">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评审指标30</w:t>
      </w:r>
      <w:r>
        <w:rPr>
          <w:rFonts w:hint="eastAsia" w:ascii="宋体" w:hAnsi="宋体" w:cs="宋体"/>
          <w:b/>
          <w:bCs/>
          <w:color w:val="auto"/>
          <w:sz w:val="24"/>
          <w:szCs w:val="24"/>
          <w:lang w:eastAsia="zh-CN"/>
        </w:rPr>
        <w:t>）</w:t>
      </w:r>
      <w:r>
        <w:rPr>
          <w:rFonts w:hint="eastAsia" w:ascii="宋体" w:hAnsi="宋体" w:cs="宋体"/>
          <w:color w:val="auto"/>
          <w:sz w:val="24"/>
          <w:szCs w:val="24"/>
        </w:rPr>
        <w:t>8.针对性的流程设计，可一键设置对直流车辆接口的温度监测试验进行测试；</w:t>
      </w:r>
    </w:p>
    <w:p w14:paraId="2867B109">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评审指标31</w:t>
      </w:r>
      <w:r>
        <w:rPr>
          <w:rFonts w:hint="eastAsia" w:ascii="宋体" w:hAnsi="宋体" w:cs="宋体"/>
          <w:b/>
          <w:bCs/>
          <w:color w:val="auto"/>
          <w:sz w:val="24"/>
          <w:szCs w:val="24"/>
          <w:lang w:eastAsia="zh-CN"/>
        </w:rPr>
        <w:t>）</w:t>
      </w:r>
      <w:r>
        <w:rPr>
          <w:rFonts w:hint="eastAsia" w:ascii="宋体" w:hAnsi="宋体" w:cs="宋体"/>
          <w:color w:val="auto"/>
          <w:sz w:val="24"/>
          <w:szCs w:val="24"/>
        </w:rPr>
        <w:t>9.最大功率可达500W,双通道（DC+、DC-合计）不低于1000W；</w:t>
      </w:r>
    </w:p>
    <w:p w14:paraId="2CFF6A4E">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评审指标32</w:t>
      </w:r>
      <w:r>
        <w:rPr>
          <w:rFonts w:hint="eastAsia" w:ascii="宋体" w:hAnsi="宋体" w:cs="宋体"/>
          <w:b/>
          <w:bCs/>
          <w:color w:val="auto"/>
          <w:sz w:val="24"/>
          <w:szCs w:val="24"/>
          <w:lang w:eastAsia="zh-CN"/>
        </w:rPr>
        <w:t>）</w:t>
      </w:r>
      <w:r>
        <w:rPr>
          <w:rFonts w:hint="eastAsia" w:ascii="宋体" w:hAnsi="宋体" w:cs="宋体"/>
          <w:color w:val="auto"/>
          <w:sz w:val="24"/>
          <w:szCs w:val="24"/>
        </w:rPr>
        <w:t>10.具备2个温度测试通道，兼容NTC、PT100、PT1000多种类型传感器；</w:t>
      </w:r>
    </w:p>
    <w:p w14:paraId="5D9E097A">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评审指标33</w:t>
      </w:r>
      <w:r>
        <w:rPr>
          <w:rFonts w:hint="eastAsia" w:ascii="宋体" w:hAnsi="宋体" w:cs="宋体"/>
          <w:b/>
          <w:bCs/>
          <w:color w:val="auto"/>
          <w:sz w:val="24"/>
          <w:szCs w:val="24"/>
          <w:lang w:eastAsia="zh-CN"/>
        </w:rPr>
        <w:t>）</w:t>
      </w:r>
      <w:r>
        <w:rPr>
          <w:rFonts w:hint="eastAsia" w:ascii="宋体" w:hAnsi="宋体" w:cs="宋体"/>
          <w:color w:val="auto"/>
          <w:sz w:val="24"/>
          <w:szCs w:val="24"/>
        </w:rPr>
        <w:t>11.</w:t>
      </w:r>
      <w:r>
        <w:rPr>
          <w:rFonts w:ascii="宋体" w:hAnsi="宋体" w:cs="宋体"/>
          <w:color w:val="auto"/>
          <w:sz w:val="24"/>
          <w:szCs w:val="24"/>
        </w:rPr>
        <w:t>设备带有</w:t>
      </w:r>
      <w:r>
        <w:rPr>
          <w:rFonts w:hint="eastAsia" w:ascii="宋体" w:hAnsi="宋体" w:cs="宋体"/>
          <w:color w:val="auto"/>
          <w:sz w:val="24"/>
          <w:szCs w:val="24"/>
        </w:rPr>
        <w:t>2</w:t>
      </w:r>
      <w:r>
        <w:rPr>
          <w:rFonts w:ascii="宋体" w:hAnsi="宋体" w:cs="宋体"/>
          <w:color w:val="auto"/>
          <w:sz w:val="24"/>
          <w:szCs w:val="24"/>
        </w:rPr>
        <w:t>个标准充电枪插座，</w:t>
      </w:r>
      <w:r>
        <w:rPr>
          <w:rFonts w:hint="eastAsia" w:ascii="宋体" w:hAnsi="宋体" w:cs="宋体"/>
          <w:color w:val="auto"/>
          <w:sz w:val="24"/>
          <w:szCs w:val="24"/>
        </w:rPr>
        <w:t>两</w:t>
      </w:r>
      <w:r>
        <w:rPr>
          <w:rFonts w:ascii="宋体" w:hAnsi="宋体" w:cs="宋体"/>
          <w:color w:val="auto"/>
          <w:sz w:val="24"/>
          <w:szCs w:val="24"/>
        </w:rPr>
        <w:t>插座定义</w:t>
      </w:r>
      <w:r>
        <w:rPr>
          <w:rFonts w:hint="eastAsia" w:ascii="宋体" w:hAnsi="宋体" w:cs="宋体"/>
          <w:color w:val="auto"/>
          <w:sz w:val="24"/>
          <w:szCs w:val="24"/>
        </w:rPr>
        <w:t>分别</w:t>
      </w:r>
      <w:r>
        <w:rPr>
          <w:rFonts w:ascii="宋体" w:hAnsi="宋体" w:cs="宋体"/>
          <w:color w:val="auto"/>
          <w:sz w:val="24"/>
          <w:szCs w:val="24"/>
        </w:rPr>
        <w:t>满足GB/T 20234.3-2023和GB/T 20234.4-2023标准规定的要求</w:t>
      </w:r>
      <w:r>
        <w:rPr>
          <w:rFonts w:hint="eastAsia" w:ascii="宋体" w:hAnsi="宋体" w:cs="宋体"/>
          <w:color w:val="auto"/>
          <w:sz w:val="24"/>
          <w:szCs w:val="24"/>
        </w:rPr>
        <w:t>；</w:t>
      </w:r>
    </w:p>
    <w:p w14:paraId="12DE70AE">
      <w:pPr>
        <w:spacing w:line="360" w:lineRule="auto"/>
        <w:rPr>
          <w:rFonts w:ascii="宋体" w:hAnsi="宋体" w:cs="宋体"/>
          <w:color w:val="auto"/>
          <w:sz w:val="24"/>
          <w:szCs w:val="24"/>
        </w:rPr>
      </w:pPr>
      <w:r>
        <w:rPr>
          <w:rFonts w:hint="eastAsia" w:ascii="宋体" w:hAnsi="宋体" w:cs="宋体"/>
          <w:color w:val="auto"/>
          <w:sz w:val="24"/>
          <w:szCs w:val="24"/>
        </w:rPr>
        <w:t>▲12.满足《GB 44263-2024 电动汽车传导充电系统安全要求》标准条款</w:t>
      </w:r>
      <w:r>
        <w:rPr>
          <w:rFonts w:ascii="宋体" w:hAnsi="宋体" w:cs="宋体"/>
          <w:color w:val="auto"/>
          <w:sz w:val="24"/>
          <w:szCs w:val="24"/>
        </w:rPr>
        <w:t>9.4.2.2 直流车辆接口温度保护功能试验</w:t>
      </w:r>
      <w:r>
        <w:rPr>
          <w:rFonts w:hint="eastAsia" w:ascii="宋体" w:hAnsi="宋体" w:cs="宋体"/>
          <w:color w:val="auto"/>
          <w:sz w:val="24"/>
          <w:szCs w:val="24"/>
        </w:rPr>
        <w:t>要求。</w:t>
      </w:r>
    </w:p>
    <w:p w14:paraId="7A957124">
      <w:pPr>
        <w:spacing w:line="360" w:lineRule="auto"/>
        <w:ind w:left="720" w:hanging="720"/>
        <w:rPr>
          <w:rFonts w:ascii="宋体" w:hAnsi="宋体" w:cs="仿宋"/>
          <w:b/>
          <w:bCs/>
          <w:color w:val="auto"/>
          <w:sz w:val="24"/>
          <w:szCs w:val="24"/>
        </w:rPr>
      </w:pPr>
      <w:bookmarkStart w:id="12" w:name="OLE_LINK31"/>
      <w:r>
        <w:rPr>
          <w:rFonts w:hint="eastAsia" w:ascii="宋体" w:hAnsi="宋体" w:cs="仿宋"/>
          <w:b/>
          <w:bCs/>
          <w:color w:val="auto"/>
          <w:sz w:val="24"/>
          <w:szCs w:val="24"/>
        </w:rPr>
        <w:t>（六）</w:t>
      </w:r>
      <w:r>
        <w:rPr>
          <w:rFonts w:ascii="宋体" w:hAnsi="宋体" w:cs="仿宋"/>
          <w:b/>
          <w:bCs/>
          <w:color w:val="auto"/>
          <w:sz w:val="24"/>
          <w:szCs w:val="24"/>
        </w:rPr>
        <w:t>温湿度测量</w:t>
      </w:r>
      <w:r>
        <w:rPr>
          <w:rFonts w:hint="eastAsia" w:ascii="宋体" w:hAnsi="宋体" w:cs="仿宋"/>
          <w:b/>
          <w:bCs/>
          <w:color w:val="auto"/>
          <w:sz w:val="24"/>
          <w:szCs w:val="24"/>
        </w:rPr>
        <w:t>装置</w:t>
      </w:r>
      <w:bookmarkEnd w:id="12"/>
      <w:r>
        <w:rPr>
          <w:rFonts w:hint="eastAsia" w:ascii="宋体" w:hAnsi="宋体" w:cs="仿宋"/>
          <w:b/>
          <w:bCs/>
          <w:color w:val="auto"/>
          <w:sz w:val="24"/>
          <w:szCs w:val="24"/>
        </w:rPr>
        <w:t>：</w:t>
      </w:r>
    </w:p>
    <w:p w14:paraId="5222592E">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w:t>
      </w:r>
      <w:r>
        <w:rPr>
          <w:rFonts w:ascii="宋体" w:hAnsi="宋体" w:cs="宋体"/>
          <w:color w:val="auto"/>
          <w:sz w:val="24"/>
          <w:szCs w:val="24"/>
        </w:rPr>
        <w:t>温度范围：-20℃～50℃</w:t>
      </w:r>
      <w:r>
        <w:rPr>
          <w:rFonts w:hint="eastAsia" w:ascii="宋体" w:hAnsi="宋体" w:cs="宋体"/>
          <w:color w:val="auto"/>
          <w:sz w:val="24"/>
          <w:szCs w:val="24"/>
        </w:rPr>
        <w:t>；</w:t>
      </w:r>
    </w:p>
    <w:p w14:paraId="0AC41128">
      <w:pPr>
        <w:spacing w:line="360" w:lineRule="auto"/>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w:t>
      </w:r>
      <w:r>
        <w:rPr>
          <w:rFonts w:ascii="宋体" w:hAnsi="宋体" w:cs="宋体"/>
          <w:color w:val="auto"/>
          <w:sz w:val="24"/>
          <w:szCs w:val="24"/>
        </w:rPr>
        <w:t>温度准确度：</w:t>
      </w:r>
      <w:r>
        <w:rPr>
          <w:rFonts w:hint="eastAsia" w:ascii="宋体" w:hAnsi="宋体" w:cs="宋体"/>
          <w:color w:val="auto"/>
          <w:sz w:val="24"/>
          <w:szCs w:val="24"/>
        </w:rPr>
        <w:t>≤</w:t>
      </w:r>
      <w:r>
        <w:rPr>
          <w:rFonts w:ascii="宋体" w:hAnsi="宋体" w:cs="宋体"/>
          <w:color w:val="auto"/>
          <w:sz w:val="24"/>
          <w:szCs w:val="24"/>
        </w:rPr>
        <w:t>±</w:t>
      </w:r>
      <w:r>
        <w:rPr>
          <w:rFonts w:hint="eastAsia" w:ascii="宋体" w:hAnsi="宋体" w:cs="宋体"/>
          <w:color w:val="auto"/>
          <w:sz w:val="24"/>
          <w:szCs w:val="24"/>
        </w:rPr>
        <w:t>1</w:t>
      </w:r>
      <w:r>
        <w:rPr>
          <w:rFonts w:ascii="宋体" w:hAnsi="宋体" w:cs="宋体"/>
          <w:color w:val="auto"/>
          <w:sz w:val="24"/>
          <w:szCs w:val="24"/>
        </w:rPr>
        <w:t>℃</w:t>
      </w:r>
      <w:r>
        <w:rPr>
          <w:rFonts w:hint="eastAsia" w:ascii="宋体" w:hAnsi="宋体" w:cs="宋体"/>
          <w:color w:val="auto"/>
          <w:sz w:val="24"/>
          <w:szCs w:val="24"/>
        </w:rPr>
        <w:t>；</w:t>
      </w:r>
    </w:p>
    <w:p w14:paraId="1ED2DE09">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评审指标34</w:t>
      </w:r>
      <w:r>
        <w:rPr>
          <w:rFonts w:hint="eastAsia" w:ascii="宋体" w:hAnsi="宋体" w:cs="宋体"/>
          <w:b/>
          <w:bCs/>
          <w:color w:val="auto"/>
          <w:sz w:val="24"/>
          <w:szCs w:val="24"/>
          <w:lang w:eastAsia="zh-CN"/>
        </w:rPr>
        <w:t>）</w:t>
      </w:r>
      <w:r>
        <w:rPr>
          <w:rFonts w:ascii="宋体" w:hAnsi="宋体" w:cs="宋体"/>
          <w:color w:val="auto"/>
          <w:sz w:val="24"/>
          <w:szCs w:val="24"/>
        </w:rPr>
        <w:t>3</w:t>
      </w:r>
      <w:r>
        <w:rPr>
          <w:rFonts w:hint="eastAsia" w:ascii="宋体" w:hAnsi="宋体" w:cs="宋体"/>
          <w:color w:val="auto"/>
          <w:sz w:val="24"/>
          <w:szCs w:val="24"/>
        </w:rPr>
        <w:t>.</w:t>
      </w:r>
      <w:r>
        <w:rPr>
          <w:rFonts w:ascii="宋体" w:hAnsi="宋体" w:cs="宋体"/>
          <w:color w:val="auto"/>
          <w:sz w:val="24"/>
          <w:szCs w:val="24"/>
        </w:rPr>
        <w:t>温度分辨率：</w:t>
      </w:r>
      <w:r>
        <w:rPr>
          <w:rFonts w:hint="eastAsia" w:ascii="宋体" w:hAnsi="宋体" w:cs="宋体"/>
          <w:color w:val="auto"/>
          <w:sz w:val="24"/>
          <w:szCs w:val="24"/>
        </w:rPr>
        <w:t>≤</w:t>
      </w:r>
      <w:r>
        <w:rPr>
          <w:rFonts w:ascii="宋体" w:hAnsi="宋体" w:cs="宋体"/>
          <w:color w:val="auto"/>
          <w:sz w:val="24"/>
          <w:szCs w:val="24"/>
        </w:rPr>
        <w:t>0.1℃</w:t>
      </w:r>
      <w:r>
        <w:rPr>
          <w:rFonts w:hint="eastAsia" w:ascii="宋体" w:hAnsi="宋体" w:cs="宋体"/>
          <w:color w:val="auto"/>
          <w:sz w:val="24"/>
          <w:szCs w:val="24"/>
        </w:rPr>
        <w:t>；</w:t>
      </w:r>
    </w:p>
    <w:p w14:paraId="1A9CC315">
      <w:pPr>
        <w:widowControl/>
        <w:spacing w:line="360" w:lineRule="auto"/>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.湿度准确度：≤6%RH；</w:t>
      </w:r>
    </w:p>
    <w:p w14:paraId="0AF4BEDE">
      <w:pPr>
        <w:widowControl/>
        <w:spacing w:line="360" w:lineRule="auto"/>
        <w:jc w:val="left"/>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.可将环境温湿度自动导入报表</w:t>
      </w:r>
    </w:p>
    <w:p w14:paraId="6A4B1400">
      <w:pPr>
        <w:spacing w:line="360" w:lineRule="auto"/>
        <w:ind w:left="720" w:hanging="720"/>
        <w:rPr>
          <w:rFonts w:ascii="宋体" w:hAnsi="宋体" w:cs="仿宋"/>
          <w:b/>
          <w:bCs/>
          <w:color w:val="auto"/>
          <w:sz w:val="24"/>
          <w:szCs w:val="24"/>
        </w:rPr>
      </w:pPr>
      <w:r>
        <w:rPr>
          <w:rFonts w:hint="eastAsia" w:ascii="宋体" w:hAnsi="宋体" w:cs="宋体"/>
          <w:b/>
          <w:bCs/>
          <w:color w:val="auto"/>
          <w:sz w:val="24"/>
          <w:szCs w:val="24"/>
        </w:rPr>
        <w:t>（七）</w:t>
      </w:r>
      <w:r>
        <w:rPr>
          <w:rFonts w:hint="eastAsia" w:ascii="宋体" w:hAnsi="宋体" w:cs="仿宋"/>
          <w:b/>
          <w:bCs/>
          <w:color w:val="auto"/>
          <w:sz w:val="24"/>
          <w:szCs w:val="24"/>
        </w:rPr>
        <w:t>接触电流分析仪：</w:t>
      </w:r>
    </w:p>
    <w:p w14:paraId="5D4B3D88">
      <w:pPr>
        <w:spacing w:line="360" w:lineRule="auto"/>
        <w:rPr>
          <w:rFonts w:ascii="宋体" w:hAnsi="宋体" w:cs="宋体"/>
          <w:color w:val="auto"/>
          <w:sz w:val="24"/>
          <w:szCs w:val="24"/>
        </w:rPr>
      </w:pPr>
      <w:r>
        <w:rPr>
          <w:rFonts w:hint="eastAsia" w:ascii="宋体" w:hAnsi="宋体" w:cs="宋体"/>
          <w:color w:val="auto"/>
          <w:sz w:val="24"/>
          <w:szCs w:val="24"/>
        </w:rPr>
        <w:t>▲1.支持MD-A、MD-F、MD-H网络；</w:t>
      </w:r>
    </w:p>
    <w:p w14:paraId="2A847C13">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评审指标35</w:t>
      </w:r>
      <w:r>
        <w:rPr>
          <w:rFonts w:hint="eastAsia" w:ascii="宋体" w:hAnsi="宋体" w:cs="宋体"/>
          <w:b/>
          <w:bCs/>
          <w:color w:val="auto"/>
          <w:sz w:val="24"/>
          <w:szCs w:val="24"/>
          <w:lang w:eastAsia="zh-CN"/>
        </w:rPr>
        <w:t>）</w:t>
      </w:r>
      <w:r>
        <w:rPr>
          <w:rFonts w:hint="eastAsia" w:ascii="宋体" w:hAnsi="宋体" w:cs="宋体"/>
          <w:color w:val="auto"/>
          <w:sz w:val="24"/>
          <w:szCs w:val="24"/>
        </w:rPr>
        <w:t>2.报警电压设置</w:t>
      </w:r>
      <w:r>
        <w:rPr>
          <w:rFonts w:ascii="宋体" w:hAnsi="宋体" w:cs="宋体"/>
          <w:color w:val="auto"/>
          <w:sz w:val="24"/>
          <w:szCs w:val="24"/>
        </w:rPr>
        <w:t>：</w:t>
      </w:r>
      <w:r>
        <w:rPr>
          <w:rFonts w:hint="eastAsia" w:ascii="宋体" w:hAnsi="宋体" w:cs="宋体"/>
          <w:color w:val="auto"/>
          <w:sz w:val="24"/>
          <w:szCs w:val="24"/>
        </w:rPr>
        <w:t>（0.0V~300.0V）AC，分辨力：0.1V，判定误差：±（0.4%×设定值+0.1%×量程）；</w:t>
      </w:r>
    </w:p>
    <w:p w14:paraId="3798AD6F">
      <w:pPr>
        <w:spacing w:line="360" w:lineRule="auto"/>
        <w:rPr>
          <w:rFonts w:ascii="宋体" w:hAnsi="宋体" w:cs="宋体"/>
          <w:color w:val="auto"/>
          <w:sz w:val="24"/>
          <w:szCs w:val="24"/>
        </w:rPr>
      </w:pPr>
      <w:r>
        <w:rPr>
          <w:rFonts w:hint="eastAsia" w:ascii="宋体" w:hAnsi="宋体" w:cs="宋体"/>
          <w:color w:val="auto"/>
          <w:sz w:val="24"/>
          <w:szCs w:val="24"/>
        </w:rPr>
        <w:t>▲3.电压测量</w:t>
      </w:r>
      <w:r>
        <w:rPr>
          <w:rFonts w:ascii="宋体" w:hAnsi="宋体" w:cs="宋体"/>
          <w:color w:val="auto"/>
          <w:sz w:val="24"/>
          <w:szCs w:val="24"/>
        </w:rPr>
        <w:t>：</w:t>
      </w:r>
      <w:r>
        <w:rPr>
          <w:rFonts w:hint="eastAsia" w:ascii="宋体" w:hAnsi="宋体" w:cs="宋体"/>
          <w:color w:val="auto"/>
          <w:sz w:val="24"/>
          <w:szCs w:val="24"/>
        </w:rPr>
        <w:t>范围：10.0V~300.0V、45Hz~65Hz；测量误差：20.0V~300.0V：±（0.4%×读数值+0.1%×量程）</w:t>
      </w:r>
    </w:p>
    <w:p w14:paraId="77424E91">
      <w:pPr>
        <w:spacing w:line="360" w:lineRule="auto"/>
        <w:rPr>
          <w:rFonts w:ascii="宋体" w:hAnsi="宋体" w:cs="宋体"/>
          <w:color w:val="auto"/>
          <w:sz w:val="24"/>
          <w:szCs w:val="24"/>
        </w:rPr>
      </w:pPr>
      <w:r>
        <w:rPr>
          <w:rFonts w:hint="eastAsia" w:ascii="宋体" w:hAnsi="宋体" w:cs="宋体"/>
          <w:color w:val="auto"/>
          <w:sz w:val="24"/>
          <w:szCs w:val="24"/>
        </w:rPr>
        <w:t>▲4.负载电流</w:t>
      </w:r>
      <w:r>
        <w:rPr>
          <w:rFonts w:ascii="宋体" w:hAnsi="宋体" w:cs="宋体"/>
          <w:color w:val="auto"/>
          <w:sz w:val="24"/>
          <w:szCs w:val="24"/>
        </w:rPr>
        <w:t>：</w:t>
      </w:r>
      <w:r>
        <w:rPr>
          <w:rFonts w:hint="eastAsia" w:ascii="宋体" w:hAnsi="宋体" w:cs="宋体"/>
          <w:color w:val="auto"/>
          <w:sz w:val="24"/>
          <w:szCs w:val="24"/>
        </w:rPr>
        <w:t>不低于</w:t>
      </w:r>
      <w:r>
        <w:rPr>
          <w:rFonts w:ascii="宋体" w:hAnsi="宋体" w:cs="宋体"/>
          <w:color w:val="auto"/>
          <w:sz w:val="24"/>
          <w:szCs w:val="24"/>
        </w:rPr>
        <w:t>10</w:t>
      </w:r>
      <w:r>
        <w:rPr>
          <w:rFonts w:hint="eastAsia" w:ascii="宋体" w:hAnsi="宋体" w:cs="宋体"/>
          <w:color w:val="auto"/>
          <w:sz w:val="24"/>
          <w:szCs w:val="24"/>
        </w:rPr>
        <w:t>0A</w:t>
      </w:r>
    </w:p>
    <w:p w14:paraId="45CD094F">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评审指标36</w:t>
      </w:r>
      <w:r>
        <w:rPr>
          <w:rFonts w:hint="eastAsia" w:ascii="宋体" w:hAnsi="宋体" w:cs="宋体"/>
          <w:b/>
          <w:bCs/>
          <w:color w:val="auto"/>
          <w:sz w:val="24"/>
          <w:szCs w:val="24"/>
          <w:lang w:eastAsia="zh-CN"/>
        </w:rPr>
        <w:t>）</w:t>
      </w:r>
      <w:r>
        <w:rPr>
          <w:rFonts w:hint="eastAsia" w:ascii="宋体" w:hAnsi="宋体" w:cs="宋体"/>
          <w:color w:val="auto"/>
          <w:sz w:val="24"/>
          <w:szCs w:val="24"/>
        </w:rPr>
        <w:t>5.接触电流/泄漏电流（有效值）：范围：20.0μA~20.00mA，分辨力：0.1μA /1μA /0.01mA</w:t>
      </w:r>
    </w:p>
    <w:p w14:paraId="65EB069F">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评审指标37</w:t>
      </w:r>
      <w:r>
        <w:rPr>
          <w:rFonts w:hint="eastAsia" w:ascii="宋体" w:hAnsi="宋体" w:cs="宋体"/>
          <w:b/>
          <w:bCs/>
          <w:color w:val="auto"/>
          <w:sz w:val="24"/>
          <w:szCs w:val="24"/>
          <w:lang w:eastAsia="zh-CN"/>
        </w:rPr>
        <w:t>）</w:t>
      </w:r>
      <w:r>
        <w:rPr>
          <w:rFonts w:hint="eastAsia" w:ascii="宋体" w:hAnsi="宋体" w:cs="宋体"/>
          <w:color w:val="auto"/>
          <w:sz w:val="24"/>
          <w:szCs w:val="24"/>
        </w:rPr>
        <w:t>判定误差：</w:t>
      </w:r>
    </w:p>
    <w:p w14:paraId="0469E353">
      <w:pPr>
        <w:spacing w:line="360" w:lineRule="auto"/>
        <w:rPr>
          <w:rFonts w:ascii="宋体" w:hAnsi="宋体" w:cs="宋体"/>
          <w:color w:val="auto"/>
          <w:sz w:val="24"/>
          <w:szCs w:val="24"/>
        </w:rPr>
      </w:pPr>
      <w:r>
        <w:rPr>
          <w:rFonts w:hint="eastAsia" w:ascii="宋体" w:hAnsi="宋体" w:cs="宋体"/>
          <w:color w:val="auto"/>
          <w:sz w:val="24"/>
          <w:szCs w:val="24"/>
        </w:rPr>
        <w:t xml:space="preserve">20.0μA～999.9μA：直流、15Hz≤f≤100kHz：±（1.5%×设定值+10个字） 100kHz＜f≤1000kHz：±（10%×设定值+5μA） </w:t>
      </w:r>
    </w:p>
    <w:p w14:paraId="6D42874B">
      <w:pPr>
        <w:spacing w:line="360" w:lineRule="auto"/>
        <w:rPr>
          <w:rFonts w:ascii="宋体" w:hAnsi="宋体" w:cs="宋体"/>
          <w:color w:val="auto"/>
          <w:sz w:val="24"/>
          <w:szCs w:val="24"/>
        </w:rPr>
      </w:pPr>
      <w:r>
        <w:rPr>
          <w:rFonts w:hint="eastAsia" w:ascii="宋体" w:hAnsi="宋体" w:cs="宋体"/>
          <w:color w:val="auto"/>
          <w:sz w:val="24"/>
          <w:szCs w:val="24"/>
        </w:rPr>
        <w:t xml:space="preserve">1000μA～7999μA：直流、15Hz≤f≤100kHz：±（1.5%×设定值+10个字） ，100kHz＜f≤1000kHz：±（10%×设定值+5μA） </w:t>
      </w:r>
    </w:p>
    <w:p w14:paraId="2C4D4587">
      <w:pPr>
        <w:spacing w:line="360" w:lineRule="auto"/>
        <w:rPr>
          <w:rFonts w:ascii="宋体" w:hAnsi="宋体" w:cs="宋体"/>
          <w:color w:val="auto"/>
          <w:sz w:val="24"/>
          <w:szCs w:val="24"/>
        </w:rPr>
      </w:pPr>
      <w:r>
        <w:rPr>
          <w:rFonts w:hint="eastAsia" w:ascii="宋体" w:hAnsi="宋体" w:cs="宋体"/>
          <w:color w:val="auto"/>
          <w:sz w:val="24"/>
          <w:szCs w:val="24"/>
        </w:rPr>
        <w:t xml:space="preserve">8.00mA～20.00mA：直流、15Hz≤f≤100kHz：±（1.5%×设定值+10个字） </w:t>
      </w:r>
    </w:p>
    <w:p w14:paraId="2B711A7F">
      <w:pPr>
        <w:spacing w:line="360" w:lineRule="auto"/>
        <w:rPr>
          <w:rFonts w:ascii="宋体" w:hAnsi="宋体" w:cs="宋体"/>
          <w:color w:val="auto"/>
          <w:sz w:val="24"/>
          <w:szCs w:val="24"/>
        </w:rPr>
      </w:pPr>
      <w:r>
        <w:rPr>
          <w:rFonts w:hint="eastAsia" w:ascii="宋体" w:hAnsi="宋体" w:cs="宋体"/>
          <w:color w:val="auto"/>
          <w:sz w:val="24"/>
          <w:szCs w:val="24"/>
        </w:rPr>
        <w:t>100kHz＜f＜1000kHz：±（10%×设定值+5个字）</w:t>
      </w:r>
    </w:p>
    <w:p w14:paraId="2D12346F">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评审指标38</w:t>
      </w:r>
      <w:r>
        <w:rPr>
          <w:rFonts w:hint="eastAsia" w:ascii="宋体" w:hAnsi="宋体" w:cs="宋体"/>
          <w:b/>
          <w:bCs/>
          <w:color w:val="auto"/>
          <w:sz w:val="24"/>
          <w:szCs w:val="24"/>
          <w:lang w:eastAsia="zh-CN"/>
        </w:rPr>
        <w:t>）</w:t>
      </w:r>
      <w:r>
        <w:rPr>
          <w:rFonts w:hint="eastAsia" w:ascii="宋体" w:hAnsi="宋体" w:cs="宋体"/>
          <w:color w:val="auto"/>
          <w:sz w:val="24"/>
          <w:szCs w:val="24"/>
        </w:rPr>
        <w:t>6.测试时间：范围：0，（0.5 ~999.9）s，0 为无限长，分辨力：不低于0.1s，误差：±（0.1% ×设定值+2 个字）， （测试方式为 AUTO（G-L、G-N）时，时间各 1 半）；</w:t>
      </w:r>
    </w:p>
    <w:p w14:paraId="2E7245F1">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评审指标39</w:t>
      </w:r>
      <w:r>
        <w:rPr>
          <w:rFonts w:hint="eastAsia" w:ascii="宋体" w:hAnsi="宋体" w:cs="宋体"/>
          <w:b/>
          <w:bCs/>
          <w:color w:val="auto"/>
          <w:sz w:val="24"/>
          <w:szCs w:val="24"/>
          <w:lang w:eastAsia="zh-CN"/>
        </w:rPr>
        <w:t>）</w:t>
      </w:r>
      <w:r>
        <w:rPr>
          <w:rFonts w:ascii="宋体" w:hAnsi="宋体" w:cs="宋体"/>
          <w:color w:val="auto"/>
          <w:sz w:val="24"/>
          <w:szCs w:val="24"/>
        </w:rPr>
        <w:t>7.</w:t>
      </w:r>
      <w:r>
        <w:rPr>
          <w:rFonts w:hint="eastAsia" w:ascii="宋体" w:hAnsi="宋体" w:cs="宋体"/>
          <w:color w:val="auto"/>
          <w:sz w:val="24"/>
          <w:szCs w:val="24"/>
        </w:rPr>
        <w:t>相数：三相；</w:t>
      </w:r>
    </w:p>
    <w:p w14:paraId="70F1EA31">
      <w:pPr>
        <w:spacing w:line="360" w:lineRule="auto"/>
        <w:ind w:left="720" w:hanging="720"/>
        <w:rPr>
          <w:rFonts w:ascii="宋体" w:hAnsi="宋体" w:cs="仿宋"/>
          <w:b/>
          <w:bCs/>
          <w:color w:val="auto"/>
          <w:sz w:val="24"/>
          <w:szCs w:val="24"/>
        </w:rPr>
      </w:pPr>
      <w:r>
        <w:rPr>
          <w:rFonts w:hint="eastAsia" w:ascii="宋体" w:hAnsi="宋体" w:cs="宋体"/>
          <w:b/>
          <w:bCs/>
          <w:color w:val="auto"/>
          <w:sz w:val="24"/>
          <w:szCs w:val="24"/>
        </w:rPr>
        <w:t>（八）</w:t>
      </w:r>
      <w:r>
        <w:rPr>
          <w:rFonts w:hint="eastAsia" w:ascii="宋体" w:hAnsi="宋体" w:cs="仿宋"/>
          <w:b/>
          <w:bCs/>
          <w:color w:val="auto"/>
          <w:sz w:val="24"/>
          <w:szCs w:val="24"/>
        </w:rPr>
        <w:t>碾压装置</w:t>
      </w:r>
    </w:p>
    <w:p w14:paraId="0BB24A1F">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评审指标40</w:t>
      </w:r>
      <w:r>
        <w:rPr>
          <w:rFonts w:hint="eastAsia" w:ascii="宋体" w:hAnsi="宋体" w:cs="宋体"/>
          <w:b/>
          <w:bCs/>
          <w:color w:val="auto"/>
          <w:sz w:val="24"/>
          <w:szCs w:val="24"/>
          <w:lang w:eastAsia="zh-CN"/>
        </w:rPr>
        <w:t>）</w:t>
      </w:r>
      <w:r>
        <w:rPr>
          <w:rFonts w:hint="eastAsia" w:ascii="宋体" w:hAnsi="宋体" w:cs="宋体"/>
          <w:color w:val="auto"/>
          <w:sz w:val="24"/>
          <w:szCs w:val="24"/>
        </w:rPr>
        <w:t xml:space="preserve">1.控制系统：PLC控制器，不小于7英寸真彩触摸屏显示和操作； </w:t>
      </w:r>
    </w:p>
    <w:p w14:paraId="51D24587">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评审指标41</w:t>
      </w:r>
      <w:r>
        <w:rPr>
          <w:rFonts w:hint="eastAsia" w:ascii="宋体" w:hAnsi="宋体" w:cs="宋体"/>
          <w:b/>
          <w:bCs/>
          <w:color w:val="auto"/>
          <w:sz w:val="24"/>
          <w:szCs w:val="24"/>
          <w:lang w:eastAsia="zh-CN"/>
        </w:rPr>
        <w:t>）</w:t>
      </w:r>
      <w:r>
        <w:rPr>
          <w:rFonts w:hint="eastAsia" w:ascii="宋体" w:hAnsi="宋体" w:cs="宋体"/>
          <w:color w:val="auto"/>
          <w:sz w:val="24"/>
          <w:szCs w:val="24"/>
        </w:rPr>
        <w:t>2.动力系统：伺服电机加涡轮蜗杆减速，直线导轨，运行平稳。</w:t>
      </w:r>
    </w:p>
    <w:p w14:paraId="0AC223B6">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评审指标42</w:t>
      </w:r>
      <w:r>
        <w:rPr>
          <w:rFonts w:hint="eastAsia" w:ascii="宋体" w:hAnsi="宋体" w:cs="宋体"/>
          <w:b/>
          <w:bCs/>
          <w:color w:val="auto"/>
          <w:sz w:val="24"/>
          <w:szCs w:val="24"/>
          <w:lang w:eastAsia="zh-CN"/>
        </w:rPr>
        <w:t>）</w:t>
      </w:r>
      <w:r>
        <w:rPr>
          <w:rFonts w:hint="eastAsia" w:ascii="宋体" w:hAnsi="宋体" w:cs="宋体"/>
          <w:color w:val="auto"/>
          <w:sz w:val="24"/>
          <w:szCs w:val="24"/>
        </w:rPr>
        <w:t>3.框架结构：承载型U型钢加钢板焊接喷涂处理；</w:t>
      </w:r>
    </w:p>
    <w:p w14:paraId="54E0C486">
      <w:pPr>
        <w:widowControl/>
        <w:spacing w:line="360" w:lineRule="auto"/>
        <w:jc w:val="left"/>
        <w:rPr>
          <w:rFonts w:ascii="宋体" w:hAnsi="宋体" w:cs="宋体"/>
          <w:color w:val="auto"/>
          <w:sz w:val="24"/>
          <w:szCs w:val="24"/>
        </w:rPr>
      </w:pPr>
      <w:r>
        <w:rPr>
          <w:rFonts w:hint="eastAsia" w:ascii="宋体" w:hAnsi="宋体" w:cs="宋体"/>
          <w:color w:val="auto"/>
          <w:sz w:val="24"/>
          <w:szCs w:val="24"/>
        </w:rPr>
        <w:t>▲4.承载载荷：（5000±250）N，（11000±550）N，可根据实验要求进行力值切换；</w:t>
      </w:r>
    </w:p>
    <w:p w14:paraId="4DE0267D">
      <w:pPr>
        <w:widowControl/>
        <w:spacing w:line="360" w:lineRule="auto"/>
        <w:jc w:val="left"/>
        <w:rPr>
          <w:rFonts w:ascii="宋体" w:hAnsi="宋体" w:cs="宋体"/>
          <w:color w:val="auto"/>
          <w:sz w:val="24"/>
          <w:szCs w:val="24"/>
        </w:rPr>
      </w:pPr>
      <w:r>
        <w:rPr>
          <w:rFonts w:hint="eastAsia" w:ascii="宋体" w:hAnsi="宋体" w:cs="宋体"/>
          <w:color w:val="auto"/>
          <w:sz w:val="24"/>
          <w:szCs w:val="24"/>
        </w:rPr>
        <w:t>▲5.碾压速度：（8±2），速度可调；</w:t>
      </w:r>
    </w:p>
    <w:p w14:paraId="0829C2EE">
      <w:pPr>
        <w:widowControl/>
        <w:numPr>
          <w:ilvl w:val="0"/>
          <w:numId w:val="0"/>
        </w:numPr>
        <w:spacing w:line="360" w:lineRule="auto"/>
        <w:jc w:val="left"/>
        <w:rPr>
          <w:rFonts w:hint="eastAsia"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评审指标43</w:t>
      </w:r>
      <w:r>
        <w:rPr>
          <w:rFonts w:hint="eastAsia" w:ascii="宋体" w:hAnsi="宋体" w:cs="宋体"/>
          <w:b/>
          <w:bCs/>
          <w:color w:val="auto"/>
          <w:sz w:val="24"/>
          <w:szCs w:val="24"/>
          <w:lang w:eastAsia="zh-CN"/>
        </w:rPr>
        <w:t>）</w:t>
      </w:r>
      <w:r>
        <w:rPr>
          <w:rFonts w:hint="eastAsia" w:ascii="宋体" w:hAnsi="宋体" w:cs="宋体"/>
          <w:b w:val="0"/>
          <w:bCs w:val="0"/>
          <w:color w:val="auto"/>
          <w:sz w:val="24"/>
          <w:szCs w:val="24"/>
          <w:lang w:val="en-US" w:eastAsia="zh-CN"/>
        </w:rPr>
        <w:t>6.</w:t>
      </w:r>
      <w:r>
        <w:rPr>
          <w:rFonts w:hint="eastAsia" w:ascii="宋体" w:hAnsi="宋体" w:cs="宋体"/>
          <w:color w:val="auto"/>
          <w:sz w:val="24"/>
          <w:szCs w:val="24"/>
        </w:rPr>
        <w:t>承载底板：附有水泥面的底板，可配置固定治具；</w:t>
      </w:r>
    </w:p>
    <w:p w14:paraId="2B317323">
      <w:pPr>
        <w:widowControl/>
        <w:numPr>
          <w:ilvl w:val="0"/>
          <w:numId w:val="0"/>
        </w:numPr>
        <w:spacing w:line="360" w:lineRule="auto"/>
        <w:jc w:val="left"/>
        <w:rPr>
          <w:rFonts w:ascii="宋体" w:hAnsi="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评审指标44</w:t>
      </w:r>
      <w:r>
        <w:rPr>
          <w:rFonts w:hint="eastAsia" w:ascii="宋体" w:hAnsi="宋体" w:cs="宋体"/>
          <w:b/>
          <w:bCs/>
          <w:color w:val="auto"/>
          <w:sz w:val="24"/>
          <w:szCs w:val="24"/>
          <w:lang w:eastAsia="zh-CN"/>
        </w:rPr>
        <w:t>）</w:t>
      </w:r>
      <w:r>
        <w:rPr>
          <w:rFonts w:hint="eastAsia" w:ascii="宋体" w:hAnsi="宋体"/>
          <w:color w:val="auto"/>
          <w:sz w:val="24"/>
          <w:szCs w:val="24"/>
        </w:rPr>
        <w:t>7</w:t>
      </w:r>
      <w:r>
        <w:rPr>
          <w:rFonts w:ascii="宋体" w:hAnsi="宋体"/>
          <w:color w:val="auto"/>
          <w:sz w:val="24"/>
          <w:szCs w:val="24"/>
        </w:rPr>
        <w:t>.</w:t>
      </w:r>
      <w:r>
        <w:rPr>
          <w:rFonts w:hint="eastAsia" w:ascii="宋体" w:hAnsi="宋体"/>
          <w:color w:val="auto"/>
          <w:sz w:val="24"/>
          <w:szCs w:val="24"/>
        </w:rPr>
        <w:t>称重传感器量程：2000</w:t>
      </w:r>
      <w:r>
        <w:rPr>
          <w:rFonts w:ascii="宋体" w:hAnsi="宋体"/>
          <w:color w:val="auto"/>
          <w:sz w:val="24"/>
          <w:szCs w:val="24"/>
        </w:rPr>
        <w:t>k</w:t>
      </w:r>
      <w:r>
        <w:rPr>
          <w:rFonts w:hint="eastAsia" w:ascii="宋体" w:hAnsi="宋体"/>
          <w:color w:val="auto"/>
          <w:sz w:val="24"/>
          <w:szCs w:val="24"/>
        </w:rPr>
        <w:t>g 精度： ±0.05%F.S；</w:t>
      </w:r>
    </w:p>
    <w:p w14:paraId="506CCE0E">
      <w:pPr>
        <w:widowControl/>
        <w:spacing w:line="360" w:lineRule="auto"/>
        <w:jc w:val="left"/>
        <w:rPr>
          <w:rFonts w:hint="eastAsia" w:ascii="宋体" w:hAnsi="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评审指标45</w:t>
      </w:r>
      <w:r>
        <w:rPr>
          <w:rFonts w:hint="eastAsia" w:ascii="宋体" w:hAnsi="宋体" w:cs="宋体"/>
          <w:b/>
          <w:bCs/>
          <w:color w:val="auto"/>
          <w:sz w:val="24"/>
          <w:szCs w:val="24"/>
          <w:lang w:eastAsia="zh-CN"/>
        </w:rPr>
        <w:t>）</w:t>
      </w:r>
      <w:r>
        <w:rPr>
          <w:rFonts w:hint="eastAsia" w:ascii="宋体" w:hAnsi="宋体"/>
          <w:color w:val="auto"/>
          <w:sz w:val="24"/>
          <w:szCs w:val="24"/>
        </w:rPr>
        <w:t>8</w:t>
      </w:r>
      <w:r>
        <w:rPr>
          <w:rFonts w:ascii="宋体" w:hAnsi="宋体"/>
          <w:color w:val="auto"/>
          <w:sz w:val="24"/>
          <w:szCs w:val="24"/>
        </w:rPr>
        <w:t>.</w:t>
      </w:r>
      <w:r>
        <w:rPr>
          <w:rFonts w:hint="eastAsia" w:ascii="宋体" w:hAnsi="宋体"/>
          <w:color w:val="auto"/>
          <w:sz w:val="24"/>
          <w:szCs w:val="24"/>
        </w:rPr>
        <w:t>试样安装：电动卷扬机提升承重组；</w:t>
      </w:r>
    </w:p>
    <w:p w14:paraId="231AC482">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评审指标46</w:t>
      </w:r>
      <w:r>
        <w:rPr>
          <w:rFonts w:hint="eastAsia" w:ascii="宋体" w:hAnsi="宋体" w:cs="宋体"/>
          <w:b/>
          <w:bCs/>
          <w:color w:val="auto"/>
          <w:sz w:val="24"/>
          <w:szCs w:val="24"/>
          <w:lang w:eastAsia="zh-CN"/>
        </w:rPr>
        <w:t>）</w:t>
      </w:r>
      <w:r>
        <w:rPr>
          <w:rFonts w:hint="eastAsia" w:ascii="宋体" w:hAnsi="宋体" w:cs="宋体"/>
          <w:color w:val="auto"/>
          <w:sz w:val="24"/>
          <w:szCs w:val="24"/>
        </w:rPr>
        <w:t>9.升降装置：进口导向部件使载荷可自由上下活动；</w:t>
      </w:r>
    </w:p>
    <w:p w14:paraId="54F16AF2">
      <w:pPr>
        <w:widowControl/>
        <w:spacing w:line="360" w:lineRule="auto"/>
        <w:jc w:val="left"/>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评审指标47</w:t>
      </w:r>
      <w:r>
        <w:rPr>
          <w:rFonts w:hint="eastAsia" w:ascii="宋体" w:hAnsi="宋体" w:cs="宋体"/>
          <w:b/>
          <w:bCs/>
          <w:color w:val="auto"/>
          <w:sz w:val="24"/>
          <w:szCs w:val="24"/>
          <w:lang w:eastAsia="zh-CN"/>
        </w:rPr>
        <w:t>）</w:t>
      </w:r>
      <w:r>
        <w:rPr>
          <w:rFonts w:hint="eastAsia" w:ascii="宋体" w:hAnsi="宋体" w:cs="宋体"/>
          <w:color w:val="auto"/>
          <w:sz w:val="24"/>
          <w:szCs w:val="24"/>
        </w:rPr>
        <w:t>10.轮胎驱动：伺服电机加减速机；</w:t>
      </w:r>
    </w:p>
    <w:p w14:paraId="47C7702D">
      <w:pPr>
        <w:spacing w:line="360" w:lineRule="auto"/>
        <w:ind w:left="720" w:hanging="720"/>
        <w:rPr>
          <w:rFonts w:ascii="宋体" w:hAnsi="宋体" w:cs="仿宋"/>
          <w:b/>
          <w:bCs/>
          <w:color w:val="auto"/>
          <w:sz w:val="24"/>
          <w:szCs w:val="24"/>
        </w:rPr>
      </w:pPr>
      <w:r>
        <w:rPr>
          <w:rFonts w:hint="eastAsia" w:ascii="宋体" w:hAnsi="宋体" w:cs="宋体"/>
          <w:b/>
          <w:bCs/>
          <w:color w:val="auto"/>
          <w:sz w:val="24"/>
          <w:szCs w:val="24"/>
        </w:rPr>
        <w:t>（九）</w:t>
      </w:r>
      <w:r>
        <w:rPr>
          <w:rFonts w:hint="eastAsia" w:ascii="宋体" w:hAnsi="宋体" w:cs="仿宋"/>
          <w:b/>
          <w:bCs/>
          <w:color w:val="auto"/>
          <w:sz w:val="24"/>
          <w:szCs w:val="24"/>
        </w:rPr>
        <w:t>系统集成、</w:t>
      </w:r>
      <w:bookmarkStart w:id="13" w:name="OLE_LINK1"/>
      <w:r>
        <w:rPr>
          <w:rFonts w:hint="eastAsia" w:ascii="宋体" w:hAnsi="宋体" w:cs="仿宋"/>
          <w:b/>
          <w:bCs/>
          <w:color w:val="auto"/>
          <w:sz w:val="24"/>
          <w:szCs w:val="24"/>
        </w:rPr>
        <w:t>综合操控台</w:t>
      </w:r>
      <w:bookmarkEnd w:id="13"/>
      <w:r>
        <w:rPr>
          <w:rFonts w:hint="eastAsia" w:ascii="宋体" w:hAnsi="宋体" w:cs="仿宋"/>
          <w:b/>
          <w:bCs/>
          <w:color w:val="auto"/>
          <w:sz w:val="24"/>
          <w:szCs w:val="24"/>
        </w:rPr>
        <w:t>及</w:t>
      </w:r>
      <w:r>
        <w:rPr>
          <w:rFonts w:ascii="宋体" w:hAnsi="宋体" w:cs="仿宋"/>
          <w:b/>
          <w:bCs/>
          <w:color w:val="auto"/>
          <w:sz w:val="24"/>
          <w:szCs w:val="24"/>
        </w:rPr>
        <w:t>软件</w:t>
      </w:r>
    </w:p>
    <w:p w14:paraId="49273F6B">
      <w:pPr>
        <w:widowControl/>
        <w:spacing w:line="360" w:lineRule="auto"/>
        <w:jc w:val="left"/>
        <w:rPr>
          <w:rFonts w:ascii="宋体" w:hAnsi="宋体" w:cs="宋体"/>
          <w:color w:val="auto"/>
          <w:sz w:val="24"/>
          <w:szCs w:val="24"/>
        </w:rPr>
      </w:pPr>
      <w:r>
        <w:rPr>
          <w:rFonts w:hint="eastAsia" w:ascii="宋体" w:hAnsi="宋体" w:cs="宋体"/>
          <w:color w:val="auto"/>
          <w:sz w:val="24"/>
          <w:szCs w:val="24"/>
        </w:rPr>
        <w:t>▲1.系统集成指标：</w:t>
      </w:r>
    </w:p>
    <w:p w14:paraId="01B8DA3F">
      <w:pPr>
        <w:spacing w:line="360" w:lineRule="auto"/>
        <w:rPr>
          <w:rFonts w:ascii="宋体" w:hAnsi="宋体" w:cs="宋体"/>
          <w:color w:val="auto"/>
          <w:sz w:val="24"/>
          <w:szCs w:val="24"/>
        </w:rPr>
      </w:pPr>
      <w:r>
        <w:rPr>
          <w:rFonts w:hint="eastAsia" w:ascii="宋体" w:hAnsi="宋体" w:cs="宋体"/>
          <w:color w:val="auto"/>
          <w:sz w:val="24"/>
          <w:szCs w:val="24"/>
        </w:rPr>
        <w:t xml:space="preserve">1.1 </w:t>
      </w:r>
      <w:r>
        <w:rPr>
          <w:rFonts w:ascii="宋体" w:hAnsi="宋体" w:cs="宋体"/>
          <w:color w:val="auto"/>
          <w:sz w:val="24"/>
          <w:szCs w:val="24"/>
        </w:rPr>
        <w:t>系统集成服务包含系统的设计、建设工作设备连接电缆、设备安装、调试等，布局图、系统图、操作规程、操作说明等</w:t>
      </w:r>
      <w:r>
        <w:rPr>
          <w:rFonts w:hint="eastAsia" w:ascii="宋体" w:hAnsi="宋体" w:cs="宋体"/>
          <w:color w:val="auto"/>
          <w:sz w:val="24"/>
          <w:szCs w:val="24"/>
        </w:rPr>
        <w:t>，完成整个充电桩测试平台的搭建；</w:t>
      </w:r>
    </w:p>
    <w:p w14:paraId="2B99455B">
      <w:pPr>
        <w:spacing w:line="360" w:lineRule="auto"/>
        <w:rPr>
          <w:rFonts w:ascii="宋体" w:hAnsi="宋体" w:cs="宋体"/>
          <w:color w:val="auto"/>
          <w:sz w:val="24"/>
          <w:szCs w:val="24"/>
        </w:rPr>
      </w:pPr>
      <w:r>
        <w:rPr>
          <w:rFonts w:hint="eastAsia" w:ascii="宋体" w:hAnsi="宋体" w:cs="宋体"/>
          <w:color w:val="auto"/>
          <w:sz w:val="24"/>
          <w:szCs w:val="24"/>
        </w:rPr>
        <w:t xml:space="preserve">1.2 </w:t>
      </w:r>
      <w:r>
        <w:rPr>
          <w:rFonts w:ascii="宋体" w:hAnsi="宋体" w:cs="宋体"/>
          <w:color w:val="auto"/>
          <w:sz w:val="24"/>
          <w:szCs w:val="24"/>
        </w:rPr>
        <w:t>系统集成服务还包括系统搭建所需的电力电缆、通讯电缆、安装调试等服务内容</w:t>
      </w:r>
      <w:r>
        <w:rPr>
          <w:rFonts w:hint="eastAsia" w:ascii="宋体" w:hAnsi="宋体" w:cs="宋体"/>
          <w:color w:val="auto"/>
          <w:sz w:val="24"/>
          <w:szCs w:val="24"/>
        </w:rPr>
        <w:t>；</w:t>
      </w:r>
    </w:p>
    <w:p w14:paraId="32067CD1">
      <w:pPr>
        <w:spacing w:line="360" w:lineRule="auto"/>
        <w:rPr>
          <w:rFonts w:ascii="宋体" w:hAnsi="宋体" w:cs="宋体"/>
          <w:color w:val="auto"/>
          <w:sz w:val="24"/>
          <w:szCs w:val="24"/>
        </w:rPr>
      </w:pPr>
      <w:r>
        <w:rPr>
          <w:rFonts w:hint="eastAsia" w:ascii="宋体" w:hAnsi="宋体" w:cs="宋体"/>
          <w:color w:val="auto"/>
          <w:sz w:val="24"/>
          <w:szCs w:val="24"/>
        </w:rPr>
        <w:t xml:space="preserve">1.3 </w:t>
      </w:r>
      <w:r>
        <w:rPr>
          <w:rFonts w:ascii="宋体" w:hAnsi="宋体" w:cs="宋体"/>
          <w:color w:val="auto"/>
          <w:sz w:val="24"/>
          <w:szCs w:val="24"/>
        </w:rPr>
        <w:t>系统集成包含软件、通讯线、供电线、探头、测试线等满足测试要求的所有辅件</w:t>
      </w:r>
      <w:r>
        <w:rPr>
          <w:rFonts w:hint="eastAsia" w:ascii="宋体" w:hAnsi="宋体" w:cs="宋体"/>
          <w:color w:val="auto"/>
          <w:sz w:val="24"/>
          <w:szCs w:val="24"/>
        </w:rPr>
        <w:t>；</w:t>
      </w:r>
    </w:p>
    <w:p w14:paraId="3DEF36B7">
      <w:pPr>
        <w:spacing w:line="360" w:lineRule="auto"/>
        <w:rPr>
          <w:rFonts w:ascii="宋体" w:hAnsi="宋体" w:cs="宋体"/>
          <w:color w:val="auto"/>
          <w:sz w:val="24"/>
          <w:szCs w:val="24"/>
        </w:rPr>
      </w:pPr>
      <w:r>
        <w:rPr>
          <w:rFonts w:hint="eastAsia" w:ascii="宋体" w:hAnsi="宋体" w:cs="宋体"/>
          <w:color w:val="auto"/>
          <w:sz w:val="24"/>
          <w:szCs w:val="24"/>
        </w:rPr>
        <w:t xml:space="preserve">1.4 </w:t>
      </w:r>
      <w:r>
        <w:rPr>
          <w:rFonts w:ascii="宋体" w:hAnsi="宋体" w:cs="宋体"/>
          <w:color w:val="auto"/>
          <w:sz w:val="24"/>
          <w:szCs w:val="24"/>
        </w:rPr>
        <w:t>包含设备的安装，调试等工作</w:t>
      </w:r>
      <w:r>
        <w:rPr>
          <w:rFonts w:hint="eastAsia" w:ascii="宋体" w:hAnsi="宋体" w:cs="宋体"/>
          <w:color w:val="auto"/>
          <w:sz w:val="24"/>
          <w:szCs w:val="24"/>
        </w:rPr>
        <w:t>；</w:t>
      </w:r>
    </w:p>
    <w:p w14:paraId="7A353F4B">
      <w:pPr>
        <w:spacing w:line="360" w:lineRule="auto"/>
        <w:rPr>
          <w:rFonts w:ascii="宋体" w:hAnsi="宋体" w:cs="宋体"/>
          <w:color w:val="auto"/>
          <w:sz w:val="24"/>
          <w:szCs w:val="24"/>
        </w:rPr>
      </w:pPr>
      <w:r>
        <w:rPr>
          <w:rFonts w:hint="eastAsia" w:ascii="宋体" w:hAnsi="宋体" w:cs="宋体"/>
          <w:color w:val="auto"/>
          <w:sz w:val="24"/>
          <w:szCs w:val="24"/>
        </w:rPr>
        <w:t xml:space="preserve">1.5 </w:t>
      </w:r>
      <w:r>
        <w:rPr>
          <w:rFonts w:ascii="宋体" w:hAnsi="宋体" w:cs="宋体"/>
          <w:color w:val="auto"/>
          <w:sz w:val="24"/>
          <w:szCs w:val="24"/>
        </w:rPr>
        <w:t>提供设备的机柜集成以及相关的接口或采集柜的集成</w:t>
      </w:r>
      <w:r>
        <w:rPr>
          <w:rFonts w:hint="eastAsia" w:ascii="宋体" w:hAnsi="宋体" w:cs="宋体"/>
          <w:color w:val="auto"/>
          <w:sz w:val="24"/>
          <w:szCs w:val="24"/>
        </w:rPr>
        <w:t>；</w:t>
      </w:r>
    </w:p>
    <w:p w14:paraId="67CA0F96">
      <w:pPr>
        <w:spacing w:line="360" w:lineRule="auto"/>
        <w:rPr>
          <w:rFonts w:ascii="宋体" w:hAnsi="宋体" w:cs="宋体"/>
          <w:color w:val="auto"/>
          <w:sz w:val="24"/>
          <w:szCs w:val="24"/>
        </w:rPr>
      </w:pPr>
      <w:r>
        <w:rPr>
          <w:rFonts w:ascii="宋体" w:hAnsi="宋体" w:cs="宋体"/>
          <w:color w:val="auto"/>
          <w:sz w:val="24"/>
          <w:szCs w:val="24"/>
        </w:rPr>
        <w:t>1.6</w:t>
      </w:r>
      <w:r>
        <w:rPr>
          <w:rFonts w:hint="eastAsia" w:ascii="宋体" w:hAnsi="宋体" w:cs="宋体"/>
          <w:color w:val="auto"/>
          <w:sz w:val="24"/>
          <w:szCs w:val="24"/>
        </w:rPr>
        <w:t>配制互锁切换柜，用于互锁切换双向直流电源与电阻负载（电阻负载已有），短路保护试验使用电阻负载，其余试验项目使用双向直流电源。切换开关额定电压不低于1</w:t>
      </w:r>
      <w:r>
        <w:rPr>
          <w:rFonts w:ascii="宋体" w:hAnsi="宋体" w:cs="宋体"/>
          <w:color w:val="auto"/>
          <w:sz w:val="24"/>
          <w:szCs w:val="24"/>
        </w:rPr>
        <w:t>5</w:t>
      </w:r>
      <w:r>
        <w:rPr>
          <w:rFonts w:hint="eastAsia" w:ascii="宋体" w:hAnsi="宋体" w:cs="宋体"/>
          <w:color w:val="auto"/>
          <w:sz w:val="24"/>
          <w:szCs w:val="24"/>
        </w:rPr>
        <w:t>00V,额定电流不低于1000A。</w:t>
      </w:r>
    </w:p>
    <w:p w14:paraId="4DC4EAB2">
      <w:pPr>
        <w:spacing w:line="360" w:lineRule="auto"/>
        <w:rPr>
          <w:rFonts w:ascii="宋体" w:hAnsi="宋体" w:cs="宋体"/>
          <w:color w:val="auto"/>
          <w:sz w:val="24"/>
          <w:szCs w:val="24"/>
        </w:rPr>
      </w:pPr>
      <w:r>
        <w:rPr>
          <w:rFonts w:hint="eastAsia" w:ascii="宋体" w:hAnsi="宋体" w:cs="宋体"/>
          <w:color w:val="auto"/>
          <w:sz w:val="24"/>
          <w:szCs w:val="24"/>
        </w:rPr>
        <w:t>1</w:t>
      </w:r>
      <w:r>
        <w:rPr>
          <w:rFonts w:ascii="宋体" w:hAnsi="宋体" w:cs="宋体"/>
          <w:color w:val="auto"/>
          <w:sz w:val="24"/>
          <w:szCs w:val="24"/>
        </w:rPr>
        <w:t xml:space="preserve">.7 </w:t>
      </w:r>
      <w:r>
        <w:rPr>
          <w:rFonts w:hint="eastAsia" w:ascii="宋体" w:hAnsi="宋体" w:cs="宋体"/>
          <w:color w:val="auto"/>
          <w:sz w:val="24"/>
          <w:szCs w:val="24"/>
        </w:rPr>
        <w:t>三相交流进线电源切换柜，一路进线来自电网模拟器（电网模拟器已有），另一路来自专用变压器（变压器已有）。切换开关的额定电压不低于</w:t>
      </w:r>
      <w:r>
        <w:rPr>
          <w:rFonts w:ascii="宋体" w:hAnsi="宋体" w:cs="宋体"/>
          <w:color w:val="auto"/>
          <w:sz w:val="24"/>
          <w:szCs w:val="24"/>
        </w:rPr>
        <w:t>4</w:t>
      </w:r>
      <w:r>
        <w:rPr>
          <w:rFonts w:hint="eastAsia" w:ascii="宋体" w:hAnsi="宋体" w:cs="宋体"/>
          <w:color w:val="auto"/>
          <w:sz w:val="24"/>
          <w:szCs w:val="24"/>
        </w:rPr>
        <w:t>00V,额定电流不低于1800A。</w:t>
      </w:r>
    </w:p>
    <w:p w14:paraId="5FBD0C01">
      <w:pPr>
        <w:spacing w:line="360" w:lineRule="auto"/>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bCs/>
          <w:color w:val="auto"/>
          <w:sz w:val="24"/>
          <w:szCs w:val="24"/>
        </w:rPr>
        <w:t>综合操控台指标：</w:t>
      </w:r>
    </w:p>
    <w:p w14:paraId="728267F7">
      <w:pPr>
        <w:spacing w:line="360" w:lineRule="auto"/>
        <w:rPr>
          <w:rFonts w:ascii="宋体" w:hAnsi="宋体" w:cs="宋体"/>
          <w:color w:val="auto"/>
          <w:sz w:val="24"/>
          <w:szCs w:val="24"/>
        </w:rPr>
      </w:pPr>
      <w:r>
        <w:rPr>
          <w:rFonts w:hint="eastAsia" w:ascii="宋体" w:hAnsi="宋体" w:cs="宋体"/>
          <w:color w:val="auto"/>
          <w:sz w:val="24"/>
          <w:szCs w:val="24"/>
        </w:rPr>
        <w:t>▲2.1 操控台</w:t>
      </w:r>
      <w:r>
        <w:rPr>
          <w:rFonts w:ascii="宋体" w:hAnsi="宋体" w:cs="宋体"/>
          <w:color w:val="auto"/>
          <w:sz w:val="24"/>
          <w:szCs w:val="24"/>
        </w:rPr>
        <w:t>为专门定制工作台，通过合理布局将工控机及台式电脑安装于工控台内。各设备配套控制软件、集控软件等分别安装于工控机及台式机内，实现远程控制及实时监测</w:t>
      </w:r>
      <w:r>
        <w:rPr>
          <w:rFonts w:hint="eastAsia" w:ascii="宋体" w:hAnsi="宋体" w:cs="宋体"/>
          <w:color w:val="auto"/>
          <w:sz w:val="24"/>
          <w:szCs w:val="24"/>
        </w:rPr>
        <w:t>；</w:t>
      </w:r>
    </w:p>
    <w:p w14:paraId="0FDB5443">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评审指标48</w:t>
      </w:r>
      <w:r>
        <w:rPr>
          <w:rFonts w:hint="eastAsia" w:ascii="宋体" w:hAnsi="宋体" w:cs="宋体"/>
          <w:b/>
          <w:bCs/>
          <w:color w:val="auto"/>
          <w:sz w:val="24"/>
          <w:szCs w:val="24"/>
          <w:lang w:eastAsia="zh-CN"/>
        </w:rPr>
        <w:t>）</w:t>
      </w:r>
      <w:r>
        <w:rPr>
          <w:rFonts w:hint="eastAsia" w:ascii="宋体" w:hAnsi="宋体" w:cs="宋体"/>
          <w:color w:val="auto"/>
          <w:sz w:val="24"/>
          <w:szCs w:val="24"/>
        </w:rPr>
        <w:t xml:space="preserve">2.2 </w:t>
      </w:r>
      <w:r>
        <w:rPr>
          <w:rFonts w:ascii="宋体" w:hAnsi="宋体" w:cs="宋体"/>
          <w:color w:val="auto"/>
          <w:sz w:val="24"/>
          <w:szCs w:val="24"/>
        </w:rPr>
        <w:t>使用专业的工控</w:t>
      </w:r>
      <w:r>
        <w:rPr>
          <w:rFonts w:hint="eastAsia" w:ascii="宋体" w:hAnsi="宋体" w:cs="宋体"/>
          <w:color w:val="auto"/>
          <w:sz w:val="24"/>
          <w:szCs w:val="24"/>
        </w:rPr>
        <w:t>机</w:t>
      </w:r>
      <w:r>
        <w:rPr>
          <w:rFonts w:ascii="宋体" w:hAnsi="宋体" w:cs="宋体"/>
          <w:color w:val="auto"/>
          <w:sz w:val="24"/>
          <w:szCs w:val="24"/>
        </w:rPr>
        <w:t>，配有打印机，方便测试机器的登记以及报告的生成</w:t>
      </w:r>
      <w:r>
        <w:rPr>
          <w:rFonts w:hint="eastAsia" w:ascii="宋体" w:hAnsi="宋体" w:cs="宋体"/>
          <w:color w:val="auto"/>
          <w:sz w:val="24"/>
          <w:szCs w:val="24"/>
        </w:rPr>
        <w:t>；</w:t>
      </w:r>
    </w:p>
    <w:p w14:paraId="6C3C469C">
      <w:pPr>
        <w:spacing w:line="360" w:lineRule="auto"/>
        <w:rPr>
          <w:rFonts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评审指标49</w:t>
      </w:r>
      <w:r>
        <w:rPr>
          <w:rFonts w:hint="eastAsia" w:ascii="宋体" w:hAnsi="宋体" w:cs="宋体"/>
          <w:b/>
          <w:bCs/>
          <w:color w:val="auto"/>
          <w:sz w:val="24"/>
          <w:szCs w:val="24"/>
          <w:lang w:eastAsia="zh-CN"/>
        </w:rPr>
        <w:t>）</w:t>
      </w:r>
      <w:r>
        <w:rPr>
          <w:rFonts w:hint="eastAsia" w:ascii="宋体" w:hAnsi="宋体" w:cs="宋体"/>
          <w:color w:val="auto"/>
          <w:sz w:val="24"/>
          <w:szCs w:val="24"/>
        </w:rPr>
        <w:t xml:space="preserve">2.3 </w:t>
      </w:r>
      <w:r>
        <w:rPr>
          <w:rFonts w:ascii="宋体" w:hAnsi="宋体" w:cs="宋体"/>
          <w:color w:val="auto"/>
          <w:sz w:val="24"/>
          <w:szCs w:val="24"/>
        </w:rPr>
        <w:t>屏幕尺寸不小于20寸</w:t>
      </w:r>
      <w:r>
        <w:rPr>
          <w:rFonts w:hint="eastAsia" w:ascii="宋体" w:hAnsi="宋体" w:cs="宋体"/>
          <w:color w:val="auto"/>
          <w:sz w:val="24"/>
          <w:szCs w:val="24"/>
        </w:rPr>
        <w:t>；</w:t>
      </w:r>
    </w:p>
    <w:p w14:paraId="4D1DB4D3">
      <w:pPr>
        <w:spacing w:line="360" w:lineRule="auto"/>
        <w:rPr>
          <w:rFonts w:hint="eastAsia" w:ascii="宋体" w:hAnsi="宋体" w:cs="宋体"/>
          <w:color w:val="auto"/>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评审指标50</w:t>
      </w:r>
      <w:r>
        <w:rPr>
          <w:rFonts w:hint="eastAsia" w:ascii="宋体" w:hAnsi="宋体" w:cs="宋体"/>
          <w:b/>
          <w:bCs/>
          <w:color w:val="auto"/>
          <w:sz w:val="24"/>
          <w:szCs w:val="24"/>
          <w:lang w:eastAsia="zh-CN"/>
        </w:rPr>
        <w:t>）</w:t>
      </w:r>
      <w:r>
        <w:rPr>
          <w:rFonts w:hint="eastAsia" w:ascii="宋体" w:hAnsi="宋体" w:cs="宋体"/>
          <w:color w:val="auto"/>
          <w:sz w:val="24"/>
          <w:szCs w:val="24"/>
        </w:rPr>
        <w:t>2.4 配备一台移动式工作站，处理器性能不低于英特尔Ultra 5，内存不低于32GB；硬盘不低于1TB，可稳定、流畅运行测试软件。</w:t>
      </w:r>
    </w:p>
    <w:p w14:paraId="0F450021">
      <w:pPr>
        <w:spacing w:line="360" w:lineRule="auto"/>
        <w:rPr>
          <w:rFonts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color w:val="auto"/>
          <w:sz w:val="24"/>
          <w:szCs w:val="24"/>
        </w:rPr>
        <w:t>3.测试软件指标：</w:t>
      </w:r>
    </w:p>
    <w:p w14:paraId="65229966">
      <w:pPr>
        <w:spacing w:line="360" w:lineRule="auto"/>
        <w:rPr>
          <w:rFonts w:ascii="宋体" w:hAnsi="宋体" w:cs="宋体"/>
          <w:color w:val="auto"/>
          <w:sz w:val="24"/>
          <w:szCs w:val="24"/>
        </w:rPr>
      </w:pPr>
      <w:r>
        <w:rPr>
          <w:rFonts w:hint="eastAsia" w:ascii="宋体" w:hAnsi="宋体" w:cs="宋体"/>
          <w:color w:val="auto"/>
          <w:sz w:val="24"/>
          <w:szCs w:val="24"/>
        </w:rPr>
        <w:t>3.1 测试系统具备数据记录功能，具有对测试过程的报文、测量信号、状态等数据连续记录，对测试过程历史可追溯，支持实时显示并保存测试过程数据和报文</w:t>
      </w:r>
    </w:p>
    <w:p w14:paraId="7B63CCB8">
      <w:pPr>
        <w:spacing w:line="360" w:lineRule="auto"/>
        <w:rPr>
          <w:rFonts w:ascii="宋体" w:hAnsi="宋体" w:cs="宋体"/>
          <w:color w:val="auto"/>
          <w:sz w:val="24"/>
          <w:szCs w:val="24"/>
        </w:rPr>
      </w:pPr>
      <w:r>
        <w:rPr>
          <w:rFonts w:hint="eastAsia" w:ascii="宋体" w:hAnsi="宋体" w:cs="宋体"/>
          <w:color w:val="auto"/>
          <w:sz w:val="24"/>
          <w:szCs w:val="24"/>
        </w:rPr>
        <w:t>3.2 所有测试程序定义的参数和测试资料可以被存储，来做分析统计及报表功能；</w:t>
      </w:r>
    </w:p>
    <w:p w14:paraId="3EB1B9E9">
      <w:pPr>
        <w:spacing w:line="360" w:lineRule="auto"/>
        <w:rPr>
          <w:rFonts w:ascii="宋体" w:hAnsi="宋体" w:cs="宋体"/>
          <w:color w:val="auto"/>
          <w:sz w:val="24"/>
          <w:szCs w:val="24"/>
        </w:rPr>
      </w:pPr>
      <w:r>
        <w:rPr>
          <w:rFonts w:hint="eastAsia" w:ascii="宋体" w:hAnsi="宋体" w:cs="宋体"/>
          <w:color w:val="auto"/>
          <w:sz w:val="24"/>
          <w:szCs w:val="24"/>
        </w:rPr>
        <w:t>3.3 可将测试数据导出报表，导出数据需包含指定格试（如附件</w:t>
      </w:r>
      <w:r>
        <w:rPr>
          <w:rFonts w:ascii="宋体" w:hAnsi="宋体" w:cs="宋体"/>
          <w:color w:val="auto"/>
          <w:sz w:val="24"/>
          <w:szCs w:val="24"/>
        </w:rPr>
        <w:t>1</w:t>
      </w:r>
      <w:r>
        <w:rPr>
          <w:rFonts w:hint="eastAsia" w:ascii="宋体" w:hAnsi="宋体" w:cs="宋体"/>
          <w:color w:val="auto"/>
          <w:sz w:val="24"/>
          <w:szCs w:val="24"/>
        </w:rPr>
        <w:t>与附件</w:t>
      </w:r>
      <w:r>
        <w:rPr>
          <w:rFonts w:ascii="宋体" w:hAnsi="宋体" w:cs="宋体"/>
          <w:color w:val="auto"/>
          <w:sz w:val="24"/>
          <w:szCs w:val="24"/>
        </w:rPr>
        <w:t>2</w:t>
      </w:r>
      <w:r>
        <w:rPr>
          <w:rFonts w:hint="eastAsia" w:ascii="宋体" w:hAnsi="宋体" w:cs="宋体"/>
          <w:color w:val="auto"/>
          <w:sz w:val="24"/>
          <w:szCs w:val="24"/>
        </w:rPr>
        <w:t>所示）所要求的数据，导出报表的格式可自定义。</w:t>
      </w:r>
    </w:p>
    <w:p w14:paraId="4335FE47">
      <w:pPr>
        <w:spacing w:line="360" w:lineRule="auto"/>
        <w:rPr>
          <w:rFonts w:ascii="宋体" w:hAnsi="宋体" w:cs="宋体"/>
          <w:color w:val="auto"/>
          <w:sz w:val="24"/>
          <w:szCs w:val="24"/>
        </w:rPr>
      </w:pPr>
      <w:r>
        <w:rPr>
          <w:rFonts w:hint="eastAsia" w:ascii="宋体" w:hAnsi="宋体" w:cs="宋体"/>
          <w:color w:val="auto"/>
          <w:sz w:val="24"/>
          <w:szCs w:val="24"/>
        </w:rPr>
        <w:t>3.4 CAN通信报文可导出；</w:t>
      </w:r>
    </w:p>
    <w:p w14:paraId="0968D372">
      <w:pPr>
        <w:spacing w:line="360" w:lineRule="auto"/>
        <w:rPr>
          <w:rFonts w:ascii="宋体" w:hAnsi="宋体" w:cs="宋体"/>
          <w:color w:val="auto"/>
          <w:sz w:val="24"/>
          <w:szCs w:val="24"/>
        </w:rPr>
      </w:pPr>
      <w:r>
        <w:rPr>
          <w:rFonts w:hint="eastAsia" w:ascii="宋体" w:hAnsi="宋体" w:cs="宋体"/>
          <w:color w:val="auto"/>
          <w:sz w:val="24"/>
          <w:szCs w:val="24"/>
        </w:rPr>
        <w:t>3.5 软件满足GB/T 27930-2023与NB/T 33001-2018测试要求，需包含NB/T 33008.1-2018,GB/T 34657.1-2017,GB/T 34658-2007,GB 39752-2024与 GB 44263-2024相关测试项目（除</w:t>
      </w:r>
      <w:r>
        <w:rPr>
          <w:rFonts w:hint="eastAsia" w:ascii="宋体" w:hAnsi="宋体" w:cs="宋体"/>
          <w:color w:val="auto"/>
          <w:sz w:val="24"/>
          <w:szCs w:val="24"/>
          <w:lang w:val="en-US" w:eastAsia="zh-CN"/>
        </w:rPr>
        <w:t>招标文件</w:t>
      </w:r>
      <w:r>
        <w:rPr>
          <w:rFonts w:hint="eastAsia" w:ascii="宋体" w:hAnsi="宋体" w:cs="宋体"/>
          <w:color w:val="auto"/>
          <w:sz w:val="24"/>
          <w:szCs w:val="24"/>
        </w:rPr>
        <w:t>中规定的关于GB 39752-2024与 GB 44263-2024测试项目外，允许其他标准项因相关硬件缺失而导致相关项目无法完成），若标准变更，能够依据标准测试要求，软件终身升级（均包含在投标报价中）；</w:t>
      </w:r>
    </w:p>
    <w:p w14:paraId="1584743D">
      <w:pPr>
        <w:spacing w:line="360" w:lineRule="auto"/>
        <w:rPr>
          <w:rFonts w:ascii="宋体" w:hAnsi="宋体" w:cs="宋体"/>
          <w:color w:val="auto"/>
          <w:sz w:val="24"/>
        </w:rPr>
      </w:pPr>
      <w:r>
        <w:rPr>
          <w:rFonts w:hint="eastAsia" w:ascii="宋体" w:hAnsi="宋体" w:cs="宋体"/>
          <w:color w:val="auto"/>
          <w:sz w:val="24"/>
          <w:szCs w:val="24"/>
        </w:rPr>
        <w:t>3.6 可完成GB 39752-2024 标准的以下项目测试：</w:t>
      </w:r>
      <w:bookmarkEnd w:id="1"/>
    </w:p>
    <w:tbl>
      <w:tblPr>
        <w:tblStyle w:val="11"/>
        <w:tblW w:w="4608" w:type="pct"/>
        <w:tblInd w:w="136" w:type="dxa"/>
        <w:tblLayout w:type="autofit"/>
        <w:tblCellMar>
          <w:top w:w="0" w:type="dxa"/>
          <w:left w:w="108" w:type="dxa"/>
          <w:bottom w:w="0" w:type="dxa"/>
          <w:right w:w="108" w:type="dxa"/>
        </w:tblCellMar>
      </w:tblPr>
      <w:tblGrid>
        <w:gridCol w:w="953"/>
        <w:gridCol w:w="1599"/>
        <w:gridCol w:w="957"/>
        <w:gridCol w:w="2215"/>
        <w:gridCol w:w="2130"/>
      </w:tblGrid>
      <w:tr w14:paraId="715F9240">
        <w:tblPrEx>
          <w:tblCellMar>
            <w:top w:w="0" w:type="dxa"/>
            <w:left w:w="108" w:type="dxa"/>
            <w:bottom w:w="0" w:type="dxa"/>
            <w:right w:w="108" w:type="dxa"/>
          </w:tblCellMar>
        </w:tblPrEx>
        <w:trPr>
          <w:trHeight w:val="300"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6C0801">
            <w:pPr>
              <w:spacing w:line="360" w:lineRule="auto"/>
              <w:jc w:val="center"/>
              <w:textAlignment w:val="center"/>
              <w:rPr>
                <w:rFonts w:ascii="宋体" w:hAnsi="宋体" w:cs="阿里妈妈东方大楷"/>
                <w:b/>
                <w:bCs/>
                <w:color w:val="auto"/>
                <w:sz w:val="18"/>
                <w:szCs w:val="18"/>
              </w:rPr>
            </w:pPr>
            <w:r>
              <w:rPr>
                <w:rFonts w:hint="eastAsia" w:ascii="宋体" w:hAnsi="宋体" w:cs="阿里妈妈东方大楷"/>
                <w:b/>
                <w:bCs/>
                <w:color w:val="auto"/>
                <w:kern w:val="0"/>
                <w:sz w:val="18"/>
                <w:szCs w:val="18"/>
              </w:rPr>
              <w:t>序号</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BB88C">
            <w:pPr>
              <w:spacing w:line="360" w:lineRule="auto"/>
              <w:jc w:val="center"/>
              <w:textAlignment w:val="center"/>
              <w:rPr>
                <w:rFonts w:ascii="宋体" w:hAnsi="宋体" w:cs="阿里妈妈东方大楷"/>
                <w:b/>
                <w:bCs/>
                <w:color w:val="auto"/>
                <w:sz w:val="18"/>
                <w:szCs w:val="18"/>
              </w:rPr>
            </w:pPr>
            <w:r>
              <w:rPr>
                <w:rFonts w:hint="eastAsia" w:ascii="宋体" w:hAnsi="宋体" w:cs="阿里妈妈东方大楷"/>
                <w:b/>
                <w:bCs/>
                <w:color w:val="auto"/>
                <w:kern w:val="0"/>
                <w:sz w:val="18"/>
                <w:szCs w:val="18"/>
              </w:rPr>
              <w:t>测试项日</w:t>
            </w:r>
          </w:p>
        </w:tc>
        <w:tc>
          <w:tcPr>
            <w:tcW w:w="609" w:type="pct"/>
            <w:tcBorders>
              <w:top w:val="single" w:color="000000" w:sz="4" w:space="0"/>
              <w:left w:val="single" w:color="000000" w:sz="4" w:space="0"/>
              <w:bottom w:val="single" w:color="000000" w:sz="4" w:space="0"/>
              <w:right w:val="single" w:color="000000" w:sz="4" w:space="0"/>
            </w:tcBorders>
            <w:shd w:val="clear" w:color="auto" w:fill="auto"/>
          </w:tcPr>
          <w:p w14:paraId="6163B6D0">
            <w:pPr>
              <w:spacing w:line="360" w:lineRule="auto"/>
              <w:jc w:val="center"/>
              <w:textAlignment w:val="center"/>
              <w:rPr>
                <w:rFonts w:ascii="宋体" w:hAnsi="宋体" w:cs="阿里妈妈东方大楷"/>
                <w:b/>
                <w:bCs/>
                <w:color w:val="auto"/>
                <w:kern w:val="0"/>
                <w:sz w:val="18"/>
                <w:szCs w:val="18"/>
              </w:rPr>
            </w:pPr>
            <w:r>
              <w:rPr>
                <w:rFonts w:hint="eastAsia" w:ascii="宋体" w:hAnsi="宋体" w:cs="阿里妈妈东方大楷"/>
                <w:b/>
                <w:bCs/>
                <w:color w:val="auto"/>
                <w:kern w:val="0"/>
                <w:sz w:val="18"/>
                <w:szCs w:val="18"/>
              </w:rPr>
              <w:t>标准条款</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92F64">
            <w:pPr>
              <w:spacing w:line="360" w:lineRule="auto"/>
              <w:jc w:val="center"/>
              <w:textAlignment w:val="center"/>
              <w:rPr>
                <w:rFonts w:ascii="宋体" w:hAnsi="宋体" w:cs="阿里妈妈东方大楷"/>
                <w:b/>
                <w:bCs/>
                <w:color w:val="auto"/>
                <w:sz w:val="18"/>
                <w:szCs w:val="18"/>
              </w:rPr>
            </w:pPr>
            <w:r>
              <w:rPr>
                <w:rFonts w:hint="eastAsia" w:ascii="宋体" w:hAnsi="宋体" w:cs="阿里妈妈东方大楷"/>
                <w:b/>
                <w:bCs/>
                <w:color w:val="auto"/>
                <w:kern w:val="0"/>
                <w:sz w:val="18"/>
                <w:szCs w:val="18"/>
              </w:rPr>
              <w:t>测试项日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BE365">
            <w:pPr>
              <w:spacing w:line="360" w:lineRule="auto"/>
              <w:jc w:val="center"/>
              <w:textAlignment w:val="center"/>
              <w:rPr>
                <w:rFonts w:ascii="宋体" w:hAnsi="宋体" w:cs="阿里妈妈东方大楷"/>
                <w:b/>
                <w:bCs/>
                <w:color w:val="auto"/>
                <w:kern w:val="0"/>
                <w:sz w:val="18"/>
                <w:szCs w:val="18"/>
              </w:rPr>
            </w:pPr>
            <w:r>
              <w:rPr>
                <w:rFonts w:hint="eastAsia" w:ascii="宋体" w:hAnsi="宋体" w:cs="阿里妈妈东方大楷"/>
                <w:b/>
                <w:bCs/>
                <w:color w:val="auto"/>
                <w:kern w:val="0"/>
                <w:sz w:val="18"/>
                <w:szCs w:val="18"/>
              </w:rPr>
              <w:t>系统具备功能</w:t>
            </w:r>
          </w:p>
        </w:tc>
      </w:tr>
      <w:tr w14:paraId="5433EB8F">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A850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1</w:t>
            </w:r>
          </w:p>
        </w:tc>
        <w:tc>
          <w:tcPr>
            <w:tcW w:w="10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F41D4">
            <w:pPr>
              <w:spacing w:line="360" w:lineRule="auto"/>
              <w:jc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电击防护试验</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307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7.3.1.2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25E4">
            <w:pPr>
              <w:spacing w:line="360" w:lineRule="auto"/>
              <w:jc w:val="center"/>
              <w:textAlignment w:val="center"/>
              <w:rPr>
                <w:rFonts w:ascii="宋体" w:hAnsi="宋体" w:cs="阿里妈妈东方大楷"/>
                <w:color w:val="auto"/>
                <w:kern w:val="0"/>
                <w:sz w:val="18"/>
                <w:szCs w:val="18"/>
              </w:rPr>
            </w:pPr>
            <w:bookmarkStart w:id="14" w:name="OLE_LINK12"/>
            <w:r>
              <w:rPr>
                <w:rFonts w:hint="eastAsia" w:ascii="宋体" w:hAnsi="宋体" w:cs="阿里妈妈东方大楷"/>
                <w:color w:val="auto"/>
                <w:kern w:val="0"/>
                <w:sz w:val="18"/>
                <w:szCs w:val="18"/>
              </w:rPr>
              <w:t>防止意外电压试验</w:t>
            </w:r>
            <w:bookmarkEnd w:id="14"/>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F5B7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6E54449A">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0A583">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2</w:t>
            </w:r>
          </w:p>
        </w:tc>
        <w:tc>
          <w:tcPr>
            <w:tcW w:w="101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3A874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能量与保护试验</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639B57">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7.3.3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4AFA1A">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输出过电压保护试验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97257">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49A4BD28">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8AF5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3</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BB648">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CD6E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7.4.2</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D213A">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输出过电流保护试验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08897">
            <w:pPr>
              <w:spacing w:line="360" w:lineRule="auto"/>
              <w:jc w:val="center"/>
              <w:textAlignment w:val="center"/>
              <w:rPr>
                <w:rFonts w:ascii="宋体" w:hAnsi="宋体" w:cs="阿里妈妈东方大楷"/>
                <w:color w:val="auto"/>
                <w:kern w:val="0"/>
                <w:sz w:val="18"/>
                <w:szCs w:val="18"/>
              </w:rPr>
            </w:pPr>
            <w:bookmarkStart w:id="15" w:name="OLE_LINK21"/>
            <w:r>
              <w:rPr>
                <w:rFonts w:hint="eastAsia" w:ascii="宋体" w:hAnsi="宋体" w:cs="阿里妈妈东方大楷"/>
                <w:color w:val="auto"/>
                <w:kern w:val="0"/>
                <w:sz w:val="18"/>
                <w:szCs w:val="18"/>
              </w:rPr>
              <w:sym w:font="Wingdings" w:char="00A8"/>
            </w:r>
            <w:bookmarkEnd w:id="15"/>
            <w:r>
              <w:rPr>
                <w:rFonts w:hint="eastAsia" w:ascii="宋体" w:hAnsi="宋体" w:cs="阿里妈妈东方大楷"/>
                <w:color w:val="auto"/>
                <w:kern w:val="0"/>
                <w:sz w:val="18"/>
                <w:szCs w:val="18"/>
              </w:rPr>
              <w:t>手动，</w:t>
            </w:r>
            <w:bookmarkStart w:id="16" w:name="OLE_LINK20"/>
            <w:r>
              <w:rPr>
                <w:rFonts w:hint="eastAsia" w:ascii="宋体" w:hAnsi="宋体" w:cs="阿里妈妈东方大楷"/>
                <w:color w:val="auto"/>
                <w:kern w:val="0"/>
                <w:sz w:val="18"/>
                <w:szCs w:val="18"/>
              </w:rPr>
              <w:sym w:font="Wingdings" w:char="00FE"/>
            </w:r>
            <w:bookmarkEnd w:id="16"/>
            <w:r>
              <w:rPr>
                <w:rFonts w:hint="eastAsia" w:ascii="宋体" w:hAnsi="宋体" w:cs="阿里妈妈东方大楷"/>
                <w:color w:val="auto"/>
                <w:kern w:val="0"/>
                <w:sz w:val="18"/>
                <w:szCs w:val="18"/>
              </w:rPr>
              <w:t>自动</w:t>
            </w:r>
          </w:p>
        </w:tc>
      </w:tr>
      <w:tr w14:paraId="13FBBE53">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9792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4</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A8B969">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DC37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7.4.3</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A18426">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短路保护试验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79BAB">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F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3989C61E">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C12967">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5</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E378B">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5DB9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7.4.4</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6E34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过温保护试验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A4BC6">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自动</w:t>
            </w:r>
          </w:p>
        </w:tc>
      </w:tr>
      <w:tr w14:paraId="1B42228B">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8248E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6</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3EE95">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49F2C">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7.4.5</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B3B0A">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负载突降保护试验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C4E99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239A2672">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3FC6C">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7917B">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44D1C7">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7.4.6</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30C50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防逆流功能检查</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3F351">
            <w:pPr>
              <w:spacing w:line="360" w:lineRule="auto"/>
              <w:jc w:val="center"/>
              <w:textAlignment w:val="center"/>
              <w:rPr>
                <w:rFonts w:ascii="宋体" w:hAnsi="宋体" w:cs="阿里妈妈东方大楷"/>
                <w:color w:val="auto"/>
                <w:kern w:val="0"/>
                <w:sz w:val="18"/>
                <w:szCs w:val="18"/>
              </w:rPr>
            </w:pPr>
            <w:bookmarkStart w:id="17" w:name="OLE_LINK27"/>
            <w:r>
              <w:rPr>
                <w:rFonts w:hint="eastAsia" w:ascii="宋体" w:hAnsi="宋体" w:cs="阿里妈妈东方大楷"/>
                <w:color w:val="auto"/>
                <w:kern w:val="0"/>
                <w:sz w:val="18"/>
                <w:szCs w:val="18"/>
              </w:rPr>
              <w:sym w:font="Wingdings" w:char="00FE"/>
            </w:r>
            <w:bookmarkEnd w:id="17"/>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自动</w:t>
            </w:r>
          </w:p>
        </w:tc>
      </w:tr>
      <w:tr w14:paraId="3BFEEFA8">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1A9D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8</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9DB9C7">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D004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7.4.7</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1714C">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粘连保护试验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45CF5">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131FFE1B">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CD2E7">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9</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73BDB6">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1C82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7.4.8</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A7921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门禁保护试验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9CA985">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F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F0FE"/>
            </w:r>
            <w:r>
              <w:rPr>
                <w:rFonts w:hint="eastAsia" w:ascii="宋体" w:hAnsi="宋体" w:cs="阿里妈妈东方大楷"/>
                <w:color w:val="auto"/>
                <w:kern w:val="0"/>
                <w:sz w:val="18"/>
                <w:szCs w:val="18"/>
              </w:rPr>
              <w:t>自动</w:t>
            </w:r>
          </w:p>
        </w:tc>
      </w:tr>
      <w:tr w14:paraId="15889028">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3FA6B">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10</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AC5F2">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89E0B">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7.4.9</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3F09F">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绝缘保护试验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301CA">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F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4CA865CE">
        <w:tblPrEx>
          <w:tblCellMar>
            <w:top w:w="0" w:type="dxa"/>
            <w:left w:w="108" w:type="dxa"/>
            <w:bottom w:w="0" w:type="dxa"/>
            <w:right w:w="108" w:type="dxa"/>
          </w:tblCellMar>
        </w:tblPrEx>
        <w:trPr>
          <w:trHeight w:val="454" w:hRule="atLeast"/>
        </w:trPr>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F060E">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11</w:t>
            </w:r>
          </w:p>
        </w:tc>
        <w:tc>
          <w:tcPr>
            <w:tcW w:w="101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8116A">
            <w:pPr>
              <w:spacing w:line="360" w:lineRule="auto"/>
              <w:jc w:val="center"/>
              <w:rPr>
                <w:rFonts w:ascii="宋体" w:hAnsi="宋体" w:cs="阿里妈妈东方大楷"/>
                <w:color w:val="auto"/>
                <w:kern w:val="0"/>
                <w:sz w:val="18"/>
                <w:szCs w:val="18"/>
              </w:rPr>
            </w:pP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F08A">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7.4.10</w:t>
            </w:r>
          </w:p>
        </w:tc>
        <w:tc>
          <w:tcPr>
            <w:tcW w:w="1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C8C098">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多车辆插头的直流供电设备模块切换试验</w:t>
            </w:r>
          </w:p>
        </w:tc>
        <w:tc>
          <w:tcPr>
            <w:tcW w:w="13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12E42">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F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F0FE"/>
            </w:r>
            <w:r>
              <w:rPr>
                <w:rFonts w:hint="eastAsia" w:ascii="宋体" w:hAnsi="宋体" w:cs="阿里妈妈东方大楷"/>
                <w:color w:val="auto"/>
                <w:kern w:val="0"/>
                <w:sz w:val="18"/>
                <w:szCs w:val="18"/>
              </w:rPr>
              <w:t>自动</w:t>
            </w:r>
          </w:p>
        </w:tc>
      </w:tr>
    </w:tbl>
    <w:p w14:paraId="73566E48">
      <w:pPr>
        <w:spacing w:line="360" w:lineRule="auto"/>
        <w:rPr>
          <w:rFonts w:ascii="宋体" w:hAnsi="宋体" w:cs="阿里妈妈东方大楷"/>
          <w:color w:val="auto"/>
          <w:kern w:val="0"/>
          <w:sz w:val="18"/>
          <w:szCs w:val="18"/>
        </w:rPr>
      </w:pPr>
    </w:p>
    <w:p w14:paraId="55D1AB9A">
      <w:pPr>
        <w:spacing w:line="360" w:lineRule="auto"/>
        <w:rPr>
          <w:rFonts w:ascii="宋体" w:hAnsi="宋体" w:cs="宋体"/>
          <w:color w:val="auto"/>
          <w:sz w:val="24"/>
          <w:szCs w:val="24"/>
        </w:rPr>
      </w:pPr>
      <w:r>
        <w:rPr>
          <w:rFonts w:hint="eastAsia" w:ascii="宋体" w:hAnsi="宋体" w:cs="宋体"/>
          <w:color w:val="auto"/>
          <w:sz w:val="24"/>
          <w:szCs w:val="24"/>
        </w:rPr>
        <w:t>3.7 可完成GB 44263-2024标准的直流供电设备相关试验项目测试，具体项目如下：</w:t>
      </w:r>
    </w:p>
    <w:tbl>
      <w:tblPr>
        <w:tblStyle w:val="11"/>
        <w:tblW w:w="4664" w:type="pct"/>
        <w:tblInd w:w="150" w:type="dxa"/>
        <w:tblLayout w:type="fixed"/>
        <w:tblCellMar>
          <w:top w:w="0" w:type="dxa"/>
          <w:left w:w="108" w:type="dxa"/>
          <w:bottom w:w="0" w:type="dxa"/>
          <w:right w:w="108" w:type="dxa"/>
        </w:tblCellMar>
      </w:tblPr>
      <w:tblGrid>
        <w:gridCol w:w="1063"/>
        <w:gridCol w:w="1813"/>
        <w:gridCol w:w="3137"/>
        <w:gridCol w:w="1936"/>
      </w:tblGrid>
      <w:tr w14:paraId="2AF1E3D5">
        <w:tblPrEx>
          <w:tblCellMar>
            <w:top w:w="0" w:type="dxa"/>
            <w:left w:w="108" w:type="dxa"/>
            <w:bottom w:w="0" w:type="dxa"/>
            <w:right w:w="108" w:type="dxa"/>
          </w:tblCellMar>
        </w:tblPrEx>
        <w:trPr>
          <w:trHeight w:val="300"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tcPr>
          <w:p w14:paraId="67B11F1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序号</w:t>
            </w:r>
          </w:p>
        </w:tc>
        <w:tc>
          <w:tcPr>
            <w:tcW w:w="1140" w:type="pct"/>
            <w:tcBorders>
              <w:top w:val="single" w:color="000000" w:sz="4" w:space="0"/>
              <w:left w:val="single" w:color="000000" w:sz="4" w:space="0"/>
              <w:bottom w:val="single" w:color="000000" w:sz="4" w:space="0"/>
              <w:right w:val="single" w:color="000000" w:sz="4" w:space="0"/>
            </w:tcBorders>
            <w:shd w:val="clear" w:color="auto" w:fill="auto"/>
          </w:tcPr>
          <w:p w14:paraId="1101AD24">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标准条款</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5BE904">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测试项目</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F500">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t>系统具备功能</w:t>
            </w:r>
          </w:p>
        </w:tc>
      </w:tr>
      <w:tr w14:paraId="010ACED3">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BE2C43">
            <w:pPr>
              <w:spacing w:line="360" w:lineRule="auto"/>
              <w:jc w:val="center"/>
              <w:textAlignment w:val="center"/>
              <w:rPr>
                <w:rFonts w:ascii="宋体" w:hAnsi="宋体"/>
                <w:color w:val="auto"/>
                <w:sz w:val="18"/>
                <w:szCs w:val="18"/>
              </w:rPr>
            </w:pPr>
            <w:r>
              <w:rPr>
                <w:rFonts w:hint="eastAsia" w:ascii="宋体" w:hAnsi="宋体"/>
                <w:color w:val="auto"/>
                <w:sz w:val="18"/>
                <w:szCs w:val="18"/>
              </w:rPr>
              <w:t>1</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4BD90">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9.4.2.2</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91222">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直流车辆接口温度保护功能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96D82">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自动</w:t>
            </w:r>
          </w:p>
        </w:tc>
      </w:tr>
      <w:tr w14:paraId="2C8258FA">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D29C8">
            <w:pPr>
              <w:spacing w:line="360" w:lineRule="auto"/>
              <w:jc w:val="center"/>
              <w:textAlignment w:val="center"/>
              <w:rPr>
                <w:rFonts w:ascii="宋体" w:hAnsi="宋体"/>
                <w:color w:val="auto"/>
                <w:sz w:val="18"/>
                <w:szCs w:val="18"/>
              </w:rPr>
            </w:pPr>
            <w:r>
              <w:rPr>
                <w:rFonts w:hint="eastAsia" w:ascii="宋体" w:hAnsi="宋体"/>
                <w:color w:val="auto"/>
                <w:sz w:val="18"/>
                <w:szCs w:val="18"/>
              </w:rPr>
              <w:t>2</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888D2">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9.6.1.1</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1590E2">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控制导引电路</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ECDA">
            <w:pPr>
              <w:spacing w:line="360" w:lineRule="auto"/>
              <w:jc w:val="center"/>
              <w:textAlignment w:val="center"/>
              <w:rPr>
                <w:rFonts w:ascii="宋体" w:hAnsi="宋体" w:cs="阿里妈妈东方大楷"/>
                <w:color w:val="auto"/>
                <w:kern w:val="0"/>
                <w:sz w:val="18"/>
                <w:szCs w:val="18"/>
              </w:rPr>
            </w:pPr>
            <w:bookmarkStart w:id="18" w:name="OLE_LINK19"/>
            <w:r>
              <w:rPr>
                <w:rFonts w:hint="eastAsia" w:ascii="宋体" w:hAnsi="宋体" w:cs="阿里妈妈东方大楷"/>
                <w:color w:val="auto"/>
                <w:kern w:val="0"/>
                <w:sz w:val="18"/>
                <w:szCs w:val="18"/>
              </w:rPr>
              <w:sym w:font="Wingdings" w:char="00A8"/>
            </w:r>
            <w:bookmarkEnd w:id="18"/>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1C648A00">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C2EBD">
            <w:pPr>
              <w:spacing w:line="360" w:lineRule="auto"/>
              <w:jc w:val="center"/>
              <w:textAlignment w:val="center"/>
              <w:rPr>
                <w:rFonts w:ascii="宋体" w:hAnsi="宋体"/>
                <w:color w:val="auto"/>
                <w:sz w:val="18"/>
                <w:szCs w:val="18"/>
              </w:rPr>
            </w:pPr>
            <w:r>
              <w:rPr>
                <w:rFonts w:hint="eastAsia" w:ascii="宋体" w:hAnsi="宋体"/>
                <w:color w:val="auto"/>
                <w:sz w:val="18"/>
                <w:szCs w:val="18"/>
              </w:rPr>
              <w:t>3</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9B9D0">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9.6.1.2</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4066">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短路保护功能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548BE">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F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F0FE"/>
            </w:r>
            <w:r>
              <w:rPr>
                <w:rFonts w:hint="eastAsia" w:ascii="宋体" w:hAnsi="宋体" w:cs="阿里妈妈东方大楷"/>
                <w:color w:val="auto"/>
                <w:kern w:val="0"/>
                <w:sz w:val="18"/>
                <w:szCs w:val="18"/>
              </w:rPr>
              <w:t>自动</w:t>
            </w:r>
          </w:p>
        </w:tc>
      </w:tr>
      <w:tr w14:paraId="26A38229">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0EF34C">
            <w:pPr>
              <w:spacing w:line="360" w:lineRule="auto"/>
              <w:jc w:val="center"/>
              <w:textAlignment w:val="center"/>
              <w:rPr>
                <w:rFonts w:ascii="宋体" w:hAnsi="宋体"/>
                <w:color w:val="auto"/>
                <w:sz w:val="18"/>
                <w:szCs w:val="18"/>
              </w:rPr>
            </w:pPr>
            <w:r>
              <w:rPr>
                <w:rFonts w:hint="eastAsia" w:ascii="宋体" w:hAnsi="宋体"/>
                <w:color w:val="auto"/>
                <w:sz w:val="18"/>
                <w:szCs w:val="18"/>
              </w:rPr>
              <w:t>4</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88785">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9.6.1.3</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DC27">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电容耦合</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67AE">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自动</w:t>
            </w:r>
          </w:p>
        </w:tc>
      </w:tr>
      <w:tr w14:paraId="3433BDD4">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533C9">
            <w:pPr>
              <w:spacing w:line="360" w:lineRule="auto"/>
              <w:jc w:val="center"/>
              <w:textAlignment w:val="center"/>
              <w:rPr>
                <w:rFonts w:ascii="宋体" w:hAnsi="宋体"/>
                <w:color w:val="auto"/>
                <w:sz w:val="18"/>
                <w:szCs w:val="18"/>
              </w:rPr>
            </w:pPr>
            <w:r>
              <w:rPr>
                <w:rFonts w:hint="eastAsia" w:ascii="宋体" w:hAnsi="宋体"/>
                <w:color w:val="auto"/>
                <w:sz w:val="18"/>
                <w:szCs w:val="18"/>
              </w:rPr>
              <w:t>5</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609E81">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9.6.1.4</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D97B4">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泄放电路</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89E4">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bookmarkStart w:id="19" w:name="OLE_LINK25"/>
            <w:r>
              <w:rPr>
                <w:rFonts w:hint="eastAsia" w:ascii="宋体" w:hAnsi="宋体" w:cs="阿里妈妈东方大楷"/>
                <w:color w:val="auto"/>
                <w:kern w:val="0"/>
                <w:sz w:val="18"/>
                <w:szCs w:val="18"/>
              </w:rPr>
              <w:sym w:font="Wingdings" w:char="00FE"/>
            </w:r>
            <w:bookmarkEnd w:id="19"/>
            <w:r>
              <w:rPr>
                <w:rFonts w:hint="eastAsia" w:ascii="宋体" w:hAnsi="宋体" w:cs="阿里妈妈东方大楷"/>
                <w:color w:val="auto"/>
                <w:kern w:val="0"/>
                <w:sz w:val="18"/>
                <w:szCs w:val="18"/>
              </w:rPr>
              <w:t>自动</w:t>
            </w:r>
          </w:p>
        </w:tc>
      </w:tr>
      <w:tr w14:paraId="0783F119">
        <w:tblPrEx>
          <w:tblCellMar>
            <w:top w:w="0" w:type="dxa"/>
            <w:left w:w="108" w:type="dxa"/>
            <w:bottom w:w="0" w:type="dxa"/>
            <w:right w:w="108" w:type="dxa"/>
          </w:tblCellMar>
        </w:tblPrEx>
        <w:trPr>
          <w:trHeight w:val="453"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064B3A">
            <w:pPr>
              <w:spacing w:line="360" w:lineRule="auto"/>
              <w:jc w:val="center"/>
              <w:textAlignment w:val="center"/>
              <w:rPr>
                <w:rFonts w:ascii="宋体" w:hAnsi="宋体"/>
                <w:color w:val="auto"/>
                <w:sz w:val="18"/>
                <w:szCs w:val="18"/>
              </w:rPr>
            </w:pPr>
            <w:r>
              <w:rPr>
                <w:rFonts w:hint="eastAsia" w:ascii="宋体" w:hAnsi="宋体"/>
                <w:color w:val="auto"/>
                <w:sz w:val="18"/>
                <w:szCs w:val="18"/>
              </w:rPr>
              <w:t>6</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80C869">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9.6.1.5</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543E8">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绝缘监测功能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AD401">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13B24ECA">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5118A">
            <w:pPr>
              <w:spacing w:line="360" w:lineRule="auto"/>
              <w:jc w:val="center"/>
              <w:textAlignment w:val="center"/>
              <w:rPr>
                <w:rFonts w:ascii="宋体" w:hAnsi="宋体"/>
                <w:color w:val="auto"/>
                <w:sz w:val="18"/>
                <w:szCs w:val="18"/>
              </w:rPr>
            </w:pPr>
            <w:r>
              <w:rPr>
                <w:rFonts w:hint="eastAsia" w:ascii="宋体" w:hAnsi="宋体"/>
                <w:color w:val="auto"/>
                <w:sz w:val="18"/>
                <w:szCs w:val="18"/>
              </w:rPr>
              <w:t>7</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EC396">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9.6.1.6</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20D10">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接口锁止功能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1C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49424DB9">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562A4">
            <w:pPr>
              <w:spacing w:line="360" w:lineRule="auto"/>
              <w:jc w:val="center"/>
              <w:textAlignment w:val="center"/>
              <w:rPr>
                <w:rFonts w:ascii="宋体" w:hAnsi="宋体"/>
                <w:color w:val="auto"/>
                <w:sz w:val="18"/>
                <w:szCs w:val="18"/>
              </w:rPr>
            </w:pPr>
            <w:r>
              <w:rPr>
                <w:rFonts w:hint="eastAsia" w:ascii="宋体" w:hAnsi="宋体"/>
                <w:color w:val="auto"/>
                <w:sz w:val="18"/>
                <w:szCs w:val="18"/>
              </w:rPr>
              <w:t>8</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5FD74">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9.6.1.7</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916BF">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高压直流接触器触点粘连检测功能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A5B6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6727539B">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C85FB">
            <w:pPr>
              <w:spacing w:line="360" w:lineRule="auto"/>
              <w:jc w:val="center"/>
              <w:textAlignment w:val="center"/>
              <w:rPr>
                <w:rFonts w:ascii="宋体" w:hAnsi="宋体"/>
                <w:color w:val="auto"/>
                <w:sz w:val="18"/>
                <w:szCs w:val="18"/>
              </w:rPr>
            </w:pPr>
            <w:r>
              <w:rPr>
                <w:rFonts w:hint="eastAsia" w:ascii="宋体" w:hAnsi="宋体"/>
                <w:color w:val="auto"/>
                <w:sz w:val="18"/>
                <w:szCs w:val="18"/>
              </w:rPr>
              <w:t>9</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CA481">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9.6.1.8</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5FDD27">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启动电流限制功能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F76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297E2407">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BF40B1">
            <w:pPr>
              <w:spacing w:line="360" w:lineRule="auto"/>
              <w:jc w:val="center"/>
              <w:textAlignment w:val="center"/>
              <w:rPr>
                <w:rFonts w:ascii="宋体" w:hAnsi="宋体"/>
                <w:color w:val="auto"/>
                <w:sz w:val="18"/>
                <w:szCs w:val="18"/>
              </w:rPr>
            </w:pPr>
            <w:r>
              <w:rPr>
                <w:rFonts w:hint="eastAsia" w:ascii="宋体" w:hAnsi="宋体"/>
                <w:color w:val="auto"/>
                <w:sz w:val="18"/>
                <w:szCs w:val="18"/>
              </w:rPr>
              <w:t>10</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1A8E8">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9.6.1.9</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9A79F">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热管理系统故障保护功能</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0425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1347E17D">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8F642">
            <w:pPr>
              <w:spacing w:line="360" w:lineRule="auto"/>
              <w:jc w:val="center"/>
              <w:textAlignment w:val="center"/>
              <w:rPr>
                <w:rFonts w:ascii="宋体" w:hAnsi="宋体"/>
                <w:color w:val="auto"/>
                <w:sz w:val="18"/>
                <w:szCs w:val="18"/>
              </w:rPr>
            </w:pPr>
            <w:r>
              <w:rPr>
                <w:rFonts w:hint="eastAsia" w:ascii="宋体" w:hAnsi="宋体"/>
                <w:color w:val="auto"/>
                <w:sz w:val="18"/>
                <w:szCs w:val="18"/>
              </w:rPr>
              <w:t>11</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C3A64">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9.6.2.1</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8BDD4">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通信超时保护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745D">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5B7E1B49">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A239BF">
            <w:pPr>
              <w:spacing w:line="360" w:lineRule="auto"/>
              <w:jc w:val="center"/>
              <w:textAlignment w:val="center"/>
              <w:rPr>
                <w:rFonts w:ascii="宋体" w:hAnsi="宋体"/>
                <w:color w:val="auto"/>
                <w:sz w:val="18"/>
                <w:szCs w:val="18"/>
              </w:rPr>
            </w:pPr>
            <w:r>
              <w:rPr>
                <w:rFonts w:hint="eastAsia" w:ascii="宋体" w:hAnsi="宋体"/>
                <w:color w:val="auto"/>
                <w:sz w:val="18"/>
                <w:szCs w:val="18"/>
              </w:rPr>
              <w:t>12</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E3D36">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9.6.2.4</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1EE1">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设备侧CC1回路异常保护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0648C">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34344E78">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E9A3DA">
            <w:pPr>
              <w:spacing w:line="360" w:lineRule="auto"/>
              <w:jc w:val="center"/>
              <w:textAlignment w:val="center"/>
              <w:rPr>
                <w:rFonts w:ascii="宋体" w:hAnsi="宋体"/>
                <w:color w:val="auto"/>
                <w:sz w:val="18"/>
                <w:szCs w:val="18"/>
              </w:rPr>
            </w:pPr>
            <w:r>
              <w:rPr>
                <w:rFonts w:hint="eastAsia" w:ascii="宋体" w:hAnsi="宋体"/>
                <w:color w:val="auto"/>
                <w:sz w:val="18"/>
                <w:szCs w:val="18"/>
              </w:rPr>
              <w:t>13</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3F9DFE">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9.6.2.5</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CCACD">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直流供电回路异常保护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F6C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5A64A927">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31614">
            <w:pPr>
              <w:spacing w:line="360" w:lineRule="auto"/>
              <w:jc w:val="center"/>
              <w:textAlignment w:val="center"/>
              <w:rPr>
                <w:rFonts w:ascii="宋体" w:hAnsi="宋体"/>
                <w:color w:val="auto"/>
                <w:sz w:val="18"/>
                <w:szCs w:val="18"/>
              </w:rPr>
            </w:pPr>
            <w:r>
              <w:rPr>
                <w:rFonts w:hint="eastAsia" w:ascii="宋体" w:hAnsi="宋体"/>
                <w:color w:val="auto"/>
                <w:sz w:val="18"/>
                <w:szCs w:val="18"/>
              </w:rPr>
              <w:t>14</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2D7DA">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9.6.2.6</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FFB730">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车辆供电回路异常保护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382FB">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24B6CE63">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A326E">
            <w:pPr>
              <w:spacing w:line="360" w:lineRule="auto"/>
              <w:jc w:val="center"/>
              <w:textAlignment w:val="center"/>
              <w:rPr>
                <w:rFonts w:ascii="宋体" w:hAnsi="宋体"/>
                <w:color w:val="auto"/>
                <w:sz w:val="18"/>
                <w:szCs w:val="18"/>
              </w:rPr>
            </w:pPr>
            <w:r>
              <w:rPr>
                <w:rFonts w:hint="eastAsia" w:ascii="宋体" w:hAnsi="宋体"/>
                <w:color w:val="auto"/>
                <w:sz w:val="18"/>
                <w:szCs w:val="18"/>
              </w:rPr>
              <w:t>15</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8A11">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9.6.2.7</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167B6E">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输出过压保护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E8D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5C19EE2C">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861B1">
            <w:pPr>
              <w:spacing w:line="360" w:lineRule="auto"/>
              <w:jc w:val="center"/>
              <w:textAlignment w:val="center"/>
              <w:rPr>
                <w:rFonts w:ascii="宋体" w:hAnsi="宋体"/>
                <w:color w:val="auto"/>
                <w:sz w:val="18"/>
                <w:szCs w:val="18"/>
              </w:rPr>
            </w:pPr>
            <w:r>
              <w:rPr>
                <w:rFonts w:hint="eastAsia" w:ascii="宋体" w:hAnsi="宋体"/>
                <w:color w:val="auto"/>
                <w:sz w:val="18"/>
                <w:szCs w:val="18"/>
              </w:rPr>
              <w:t>16</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87FD9">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9.6.2.8</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D5250">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输出过流保护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C6E4">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r w14:paraId="12D982EE">
        <w:tblPrEx>
          <w:tblCellMar>
            <w:top w:w="0" w:type="dxa"/>
            <w:left w:w="108" w:type="dxa"/>
            <w:bottom w:w="0" w:type="dxa"/>
            <w:right w:w="108" w:type="dxa"/>
          </w:tblCellMar>
        </w:tblPrEx>
        <w:trPr>
          <w:trHeight w:val="454" w:hRule="atLeast"/>
        </w:trPr>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2E38D">
            <w:pPr>
              <w:spacing w:line="360" w:lineRule="auto"/>
              <w:jc w:val="center"/>
              <w:textAlignment w:val="center"/>
              <w:rPr>
                <w:rFonts w:ascii="宋体" w:hAnsi="宋体"/>
                <w:color w:val="auto"/>
                <w:sz w:val="18"/>
                <w:szCs w:val="18"/>
              </w:rPr>
            </w:pPr>
            <w:r>
              <w:rPr>
                <w:rFonts w:hint="eastAsia" w:ascii="宋体" w:hAnsi="宋体"/>
                <w:color w:val="auto"/>
                <w:sz w:val="18"/>
                <w:szCs w:val="18"/>
              </w:rPr>
              <w:t>17</w:t>
            </w:r>
          </w:p>
        </w:tc>
        <w:tc>
          <w:tcPr>
            <w:tcW w:w="11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082B2">
            <w:pPr>
              <w:spacing w:line="360" w:lineRule="auto"/>
              <w:jc w:val="center"/>
              <w:textAlignment w:val="center"/>
              <w:rPr>
                <w:rFonts w:ascii="宋体" w:hAnsi="宋体" w:cs="阿里妈妈东方大楷"/>
                <w:color w:val="auto"/>
                <w:kern w:val="0"/>
                <w:sz w:val="18"/>
                <w:szCs w:val="18"/>
              </w:rPr>
            </w:pPr>
            <w:r>
              <w:rPr>
                <w:rFonts w:hint="eastAsia" w:ascii="宋体" w:hAnsi="宋体"/>
                <w:color w:val="auto"/>
                <w:sz w:val="18"/>
                <w:szCs w:val="18"/>
              </w:rPr>
              <w:t>9.6.2.9</w:t>
            </w:r>
          </w:p>
        </w:tc>
        <w:tc>
          <w:tcPr>
            <w:tcW w:w="19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2C4C7">
            <w:pPr>
              <w:spacing w:line="360" w:lineRule="auto"/>
              <w:jc w:val="center"/>
              <w:textAlignment w:val="center"/>
              <w:rPr>
                <w:rFonts w:ascii="宋体" w:hAnsi="宋体" w:cs="阿里妈妈东方大楷"/>
                <w:color w:val="auto"/>
                <w:sz w:val="18"/>
                <w:szCs w:val="18"/>
              </w:rPr>
            </w:pPr>
            <w:r>
              <w:rPr>
                <w:rFonts w:hint="eastAsia" w:ascii="宋体" w:hAnsi="宋体" w:cs="阿里妈妈东方大楷"/>
                <w:color w:val="auto"/>
                <w:kern w:val="0"/>
                <w:sz w:val="18"/>
                <w:szCs w:val="18"/>
              </w:rPr>
              <w:t>负载突降保护</w:t>
            </w:r>
          </w:p>
        </w:tc>
        <w:tc>
          <w:tcPr>
            <w:tcW w:w="1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3BF29">
            <w:pPr>
              <w:spacing w:line="360" w:lineRule="auto"/>
              <w:jc w:val="center"/>
              <w:textAlignment w:val="center"/>
              <w:rPr>
                <w:rFonts w:ascii="宋体" w:hAnsi="宋体" w:cs="阿里妈妈东方大楷"/>
                <w:color w:val="auto"/>
                <w:kern w:val="0"/>
                <w:sz w:val="18"/>
                <w:szCs w:val="18"/>
              </w:rPr>
            </w:pPr>
            <w:r>
              <w:rPr>
                <w:rFonts w:hint="eastAsia" w:ascii="宋体" w:hAnsi="宋体" w:cs="阿里妈妈东方大楷"/>
                <w:color w:val="auto"/>
                <w:kern w:val="0"/>
                <w:sz w:val="18"/>
                <w:szCs w:val="18"/>
              </w:rPr>
              <w:sym w:font="Wingdings" w:char="00A8"/>
            </w:r>
            <w:r>
              <w:rPr>
                <w:rFonts w:hint="eastAsia" w:ascii="宋体" w:hAnsi="宋体" w:cs="阿里妈妈东方大楷"/>
                <w:color w:val="auto"/>
                <w:kern w:val="0"/>
                <w:sz w:val="18"/>
                <w:szCs w:val="18"/>
              </w:rPr>
              <w:t>手动，</w:t>
            </w:r>
            <w:r>
              <w:rPr>
                <w:rFonts w:hint="eastAsia" w:ascii="宋体" w:hAnsi="宋体" w:cs="阿里妈妈东方大楷"/>
                <w:color w:val="auto"/>
                <w:kern w:val="0"/>
                <w:sz w:val="18"/>
                <w:szCs w:val="18"/>
              </w:rPr>
              <w:sym w:font="Wingdings" w:char="00FE"/>
            </w:r>
            <w:r>
              <w:rPr>
                <w:rFonts w:hint="eastAsia" w:ascii="宋体" w:hAnsi="宋体" w:cs="阿里妈妈东方大楷"/>
                <w:color w:val="auto"/>
                <w:kern w:val="0"/>
                <w:sz w:val="18"/>
                <w:szCs w:val="18"/>
              </w:rPr>
              <w:t>自动</w:t>
            </w:r>
          </w:p>
        </w:tc>
      </w:tr>
    </w:tbl>
    <w:p w14:paraId="3D80A1AE">
      <w:pPr>
        <w:spacing w:line="360" w:lineRule="auto"/>
        <w:ind w:left="720" w:hanging="720"/>
        <w:rPr>
          <w:rFonts w:ascii="宋体" w:hAnsi="宋体" w:cs="仿宋"/>
          <w:b/>
          <w:color w:val="auto"/>
          <w:sz w:val="24"/>
          <w:szCs w:val="24"/>
        </w:rPr>
      </w:pPr>
    </w:p>
    <w:p w14:paraId="6BC32233">
      <w:pPr>
        <w:spacing w:line="360" w:lineRule="auto"/>
        <w:rPr>
          <w:rFonts w:hint="eastAsia" w:ascii="宋体" w:hAnsi="宋体" w:cs="宋体"/>
          <w:color w:val="auto"/>
          <w:sz w:val="24"/>
          <w:szCs w:val="24"/>
        </w:rPr>
      </w:pPr>
      <w:r>
        <w:rPr>
          <w:rFonts w:hint="eastAsia" w:ascii="宋体" w:hAnsi="宋体" w:cs="宋体"/>
          <w:b/>
          <w:bCs/>
          <w:color w:val="auto"/>
          <w:sz w:val="24"/>
          <w:szCs w:val="24"/>
        </w:rPr>
        <w:t>★（十）其他要求：</w:t>
      </w:r>
      <w:r>
        <w:rPr>
          <w:rFonts w:hint="eastAsia" w:ascii="宋体" w:hAnsi="宋体" w:cs="宋体"/>
          <w:color w:val="auto"/>
          <w:sz w:val="24"/>
          <w:szCs w:val="24"/>
        </w:rPr>
        <w:t>投标</w:t>
      </w:r>
      <w:r>
        <w:rPr>
          <w:rFonts w:hint="eastAsia" w:ascii="宋体" w:hAnsi="宋体" w:cs="宋体"/>
          <w:color w:val="auto"/>
          <w:sz w:val="24"/>
          <w:szCs w:val="24"/>
          <w:lang w:val="en-US" w:eastAsia="zh-CN"/>
        </w:rPr>
        <w:t>人</w:t>
      </w:r>
      <w:r>
        <w:rPr>
          <w:rFonts w:hint="eastAsia" w:ascii="宋体" w:hAnsi="宋体" w:cs="宋体"/>
          <w:color w:val="auto"/>
          <w:sz w:val="24"/>
          <w:szCs w:val="24"/>
        </w:rPr>
        <w:t>需进行视频演示，介绍测试装置的组成部分，并演示</w:t>
      </w:r>
    </w:p>
    <w:p w14:paraId="1BC9CE1A">
      <w:pPr>
        <w:spacing w:line="360" w:lineRule="auto"/>
        <w:rPr>
          <w:rFonts w:hint="eastAsia" w:ascii="宋体" w:hAnsi="宋体" w:cs="宋体"/>
          <w:color w:val="auto"/>
          <w:sz w:val="24"/>
          <w:szCs w:val="24"/>
        </w:rPr>
      </w:pPr>
      <w:r>
        <w:rPr>
          <w:rFonts w:hint="eastAsia" w:ascii="宋体" w:hAnsi="宋体" w:cs="宋体"/>
          <w:color w:val="auto"/>
          <w:sz w:val="24"/>
          <w:szCs w:val="24"/>
        </w:rPr>
        <w:t>GB 44263-2024中9.6.1.3电容耦合、9.6.1.7 高压直流接触器触点粘连检测功能、9.6.2.7 输出过压与保护9.6.2.8 输出过流保护的试验与导出报表过程。注：投标人须在提交投标截止时间之前递交以视频文件格式的视频演示样片，不接受PPT或其它演示方式。演示样片可采用光盘或者U盘形式提交，供应商应自行在演示样片的光盘或U盘中加入样片的播放软件，否则由供应商自行承担演示样片无法播放的后果，视频时间不超过10分钟。</w:t>
      </w:r>
    </w:p>
    <w:p w14:paraId="2F826B47">
      <w:pPr>
        <w:pStyle w:val="14"/>
        <w:spacing w:line="360" w:lineRule="auto"/>
        <w:jc w:val="both"/>
        <w:outlineLvl w:val="2"/>
        <w:rPr>
          <w:rFonts w:hint="default" w:ascii="宋体" w:hAnsi="宋体" w:eastAsia="宋体" w:cs="宋体"/>
          <w:b/>
          <w:sz w:val="24"/>
          <w:szCs w:val="24"/>
          <w:lang w:eastAsia="zh-CN"/>
        </w:rPr>
      </w:pPr>
    </w:p>
    <w:p w14:paraId="31E4EF12">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采购包2、</w:t>
      </w:r>
      <w:r>
        <w:rPr>
          <w:rFonts w:ascii="宋体" w:hAnsi="宋体" w:eastAsia="宋体" w:cs="宋体"/>
          <w:b/>
          <w:sz w:val="24"/>
          <w:szCs w:val="24"/>
        </w:rPr>
        <w:t>充电桩负载和车辆模拟器</w:t>
      </w:r>
      <w:r>
        <w:rPr>
          <w:rFonts w:ascii="宋体" w:hAnsi="宋体" w:eastAsia="宋体" w:cs="宋体"/>
          <w:b/>
          <w:sz w:val="24"/>
          <w:szCs w:val="24"/>
          <w:lang w:eastAsia="zh-CN"/>
        </w:rPr>
        <w:t>：</w:t>
      </w:r>
    </w:p>
    <w:p w14:paraId="25A2C7FC">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（一）技术要求：</w:t>
      </w:r>
    </w:p>
    <w:p w14:paraId="3AD0DCD0">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1.非车载充电机现场特性测试仪：1台</w:t>
      </w:r>
    </w:p>
    <w:p w14:paraId="49880CA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w:t>
      </w:r>
      <w:r>
        <w:rPr>
          <w:rFonts w:hint="eastAsia" w:ascii="宋体" w:hAnsi="宋体" w:cs="宋体"/>
          <w:b/>
          <w:bCs/>
          <w:color w:val="auto"/>
          <w:sz w:val="24"/>
          <w:szCs w:val="24"/>
          <w:lang w:eastAsia="zh-CN"/>
        </w:rPr>
        <w:t>）</w:t>
      </w:r>
      <w:r>
        <w:rPr>
          <w:rFonts w:ascii="宋体" w:hAnsi="宋体" w:eastAsia="宋体" w:cs="宋体"/>
          <w:bCs/>
          <w:sz w:val="24"/>
          <w:szCs w:val="24"/>
          <w:lang w:eastAsia="zh-CN"/>
        </w:rPr>
        <w:t>1.1 满足对非车载充电机的计量检定、协议一致性、互操作性项目进行测试，可自动生成测试报告；</w:t>
      </w:r>
    </w:p>
    <w:p w14:paraId="60EEE962">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w:t>
      </w:r>
      <w:r>
        <w:rPr>
          <w:rFonts w:hint="eastAsia" w:ascii="宋体" w:hAnsi="宋体" w:cs="宋体"/>
          <w:b/>
          <w:bCs/>
          <w:color w:val="auto"/>
          <w:sz w:val="24"/>
          <w:szCs w:val="24"/>
          <w:lang w:eastAsia="zh-CN"/>
        </w:rPr>
        <w:t>）</w:t>
      </w:r>
      <w:r>
        <w:rPr>
          <w:rFonts w:ascii="宋体" w:hAnsi="宋体" w:eastAsia="宋体" w:cs="宋体"/>
          <w:bCs/>
          <w:sz w:val="24"/>
          <w:szCs w:val="24"/>
          <w:lang w:eastAsia="zh-CN"/>
        </w:rPr>
        <w:t>1.2 内置高精度直流标准表、BMS模拟器、录波模块、功率分析模块、控制导引相关电路，可与充电机实现交互；</w:t>
      </w:r>
    </w:p>
    <w:p w14:paraId="5BB6A22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w:t>
      </w:r>
      <w:r>
        <w:rPr>
          <w:rFonts w:hint="eastAsia" w:ascii="宋体" w:hAnsi="宋体" w:cs="宋体"/>
          <w:b/>
          <w:bCs/>
          <w:color w:val="auto"/>
          <w:sz w:val="24"/>
          <w:szCs w:val="24"/>
          <w:lang w:eastAsia="zh-CN"/>
        </w:rPr>
        <w:t>）</w:t>
      </w:r>
      <w:r>
        <w:rPr>
          <w:rFonts w:ascii="宋体" w:hAnsi="宋体" w:eastAsia="宋体" w:cs="宋体"/>
          <w:bCs/>
          <w:sz w:val="24"/>
          <w:szCs w:val="24"/>
          <w:lang w:eastAsia="zh-CN"/>
        </w:rPr>
        <w:t>1.3 电压测量：</w:t>
      </w:r>
    </w:p>
    <w:p w14:paraId="0F0A0C6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输入范围：0V～1000VDC</w:t>
      </w:r>
    </w:p>
    <w:p w14:paraId="28FB5A8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准确测量范围：100V～1000V</w:t>
      </w:r>
    </w:p>
    <w:p w14:paraId="4A61603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准确度： ±0.05%RD（RD为读数）</w:t>
      </w:r>
    </w:p>
    <w:p w14:paraId="0021466F">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w:t>
      </w:r>
      <w:r>
        <w:rPr>
          <w:rFonts w:hint="eastAsia" w:ascii="宋体" w:hAnsi="宋体" w:cs="宋体"/>
          <w:b/>
          <w:bCs/>
          <w:color w:val="auto"/>
          <w:sz w:val="24"/>
          <w:szCs w:val="24"/>
          <w:lang w:eastAsia="zh-CN"/>
        </w:rPr>
        <w:t>）</w:t>
      </w:r>
      <w:r>
        <w:rPr>
          <w:rFonts w:ascii="宋体" w:hAnsi="宋体" w:eastAsia="宋体" w:cs="宋体"/>
          <w:bCs/>
          <w:sz w:val="24"/>
          <w:szCs w:val="24"/>
          <w:lang w:eastAsia="zh-CN"/>
        </w:rPr>
        <w:t>1.4 电流测量：</w:t>
      </w:r>
    </w:p>
    <w:p w14:paraId="46ABB5E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输入范围： 0A～250A</w:t>
      </w:r>
    </w:p>
    <w:p w14:paraId="4B75A00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准确测量范围：5A～250A</w:t>
      </w:r>
    </w:p>
    <w:p w14:paraId="3C2FFE1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准确度：±0.05%RD（RD为读数）</w:t>
      </w:r>
    </w:p>
    <w:p w14:paraId="70F5AEA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w:t>
      </w:r>
      <w:r>
        <w:rPr>
          <w:rFonts w:hint="eastAsia" w:ascii="宋体" w:hAnsi="宋体" w:cs="宋体"/>
          <w:b/>
          <w:bCs/>
          <w:color w:val="auto"/>
          <w:sz w:val="24"/>
          <w:szCs w:val="24"/>
          <w:lang w:eastAsia="zh-CN"/>
        </w:rPr>
        <w:t>）</w:t>
      </w:r>
      <w:r>
        <w:rPr>
          <w:rFonts w:ascii="宋体" w:hAnsi="宋体" w:eastAsia="宋体" w:cs="宋体"/>
          <w:bCs/>
          <w:sz w:val="24"/>
          <w:szCs w:val="24"/>
          <w:lang w:eastAsia="zh-CN"/>
        </w:rPr>
        <w:t>1.5 功率、电能测量准确度： ±0.05%RD (RD为读数)</w:t>
      </w:r>
    </w:p>
    <w:p w14:paraId="5A644953">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w:t>
      </w:r>
      <w:r>
        <w:rPr>
          <w:rFonts w:hint="eastAsia" w:ascii="宋体" w:hAnsi="宋体" w:cs="宋体"/>
          <w:b/>
          <w:bCs/>
          <w:color w:val="auto"/>
          <w:sz w:val="24"/>
          <w:szCs w:val="24"/>
          <w:lang w:eastAsia="zh-CN"/>
        </w:rPr>
        <w:t>）</w:t>
      </w:r>
      <w:r>
        <w:rPr>
          <w:rFonts w:ascii="宋体" w:hAnsi="宋体" w:eastAsia="宋体" w:cs="宋体"/>
          <w:bCs/>
          <w:sz w:val="24"/>
          <w:szCs w:val="24"/>
          <w:lang w:eastAsia="zh-CN"/>
        </w:rPr>
        <w:t>1.6 电压、电流以及电能指标准确度等级不低于0.05级，投标时提供省级及以上法定计量检定机构出具的检定或校准报告复印件证明；</w:t>
      </w:r>
    </w:p>
    <w:p w14:paraId="6563000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▲1.7 内置功率分析模块，可对充电桩的交流输入电参数进行检测，交流功率测量准确度为±0.5%RD，交流电压为220V，交流电流为0.1～500A；</w:t>
      </w:r>
    </w:p>
    <w:p w14:paraId="7476305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▲1.8 内置1000V绝缘电阻检测功能，电阻测量范围：1 MΩ～40MΩ，绝缘电压：1000V；</w:t>
      </w:r>
    </w:p>
    <w:p w14:paraId="27CCEE0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w:t>
      </w:r>
      <w:r>
        <w:rPr>
          <w:rFonts w:hint="eastAsia" w:ascii="宋体" w:hAnsi="宋体" w:cs="宋体"/>
          <w:b/>
          <w:bCs/>
          <w:color w:val="auto"/>
          <w:sz w:val="24"/>
          <w:szCs w:val="24"/>
          <w:lang w:eastAsia="zh-CN"/>
        </w:rPr>
        <w:t>）</w:t>
      </w:r>
      <w:r>
        <w:rPr>
          <w:rFonts w:ascii="宋体" w:hAnsi="宋体" w:eastAsia="宋体" w:cs="宋体"/>
          <w:bCs/>
          <w:sz w:val="24"/>
          <w:szCs w:val="24"/>
          <w:lang w:eastAsia="zh-CN"/>
        </w:rPr>
        <w:t>1.9 机器自身面板具备充电枪接口中所有信号的引出接口，信号包含DC+、DC-、GND、S+、S-、CC1、CC2、A+、A-；</w:t>
      </w:r>
    </w:p>
    <w:p w14:paraId="577E8FB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w:t>
      </w:r>
      <w:r>
        <w:rPr>
          <w:rFonts w:hint="eastAsia" w:ascii="宋体" w:hAnsi="宋体" w:cs="宋体"/>
          <w:b/>
          <w:bCs/>
          <w:color w:val="auto"/>
          <w:sz w:val="24"/>
          <w:szCs w:val="24"/>
          <w:lang w:eastAsia="zh-CN"/>
        </w:rPr>
        <w:t>）</w:t>
      </w:r>
      <w:r>
        <w:rPr>
          <w:rFonts w:ascii="宋体" w:hAnsi="宋体" w:eastAsia="宋体" w:cs="宋体"/>
          <w:bCs/>
          <w:sz w:val="24"/>
          <w:szCs w:val="24"/>
          <w:lang w:eastAsia="zh-CN"/>
        </w:rPr>
        <w:t>1.10 内置1000V电池电压模拟器功能，用于充电机开启的电压检测；</w:t>
      </w:r>
    </w:p>
    <w:p w14:paraId="051492D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w:t>
      </w:r>
      <w:r>
        <w:rPr>
          <w:rFonts w:hint="eastAsia" w:ascii="宋体" w:hAnsi="宋体" w:cs="宋体"/>
          <w:b/>
          <w:bCs/>
          <w:color w:val="auto"/>
          <w:sz w:val="24"/>
          <w:szCs w:val="24"/>
          <w:lang w:eastAsia="zh-CN"/>
        </w:rPr>
        <w:t>）</w:t>
      </w:r>
      <w:r>
        <w:rPr>
          <w:rFonts w:ascii="宋体" w:hAnsi="宋体" w:eastAsia="宋体" w:cs="宋体"/>
          <w:bCs/>
          <w:sz w:val="24"/>
          <w:szCs w:val="24"/>
          <w:lang w:eastAsia="zh-CN"/>
        </w:rPr>
        <w:t>1.11 内嵌GPS模块，实现北京时间对时，参考时钟误差不大于1秒；</w:t>
      </w:r>
    </w:p>
    <w:p w14:paraId="7D68142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▲1.12 具备电能质量分析功能。支持三相电压不平衡度测量，准确度±1%RG；谐波测量准确度：±1%RG；</w:t>
      </w:r>
    </w:p>
    <w:p w14:paraId="534F03D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w:t>
      </w:r>
      <w:r>
        <w:rPr>
          <w:rFonts w:hint="eastAsia" w:ascii="宋体" w:hAnsi="宋体" w:cs="宋体"/>
          <w:b/>
          <w:bCs/>
          <w:color w:val="auto"/>
          <w:sz w:val="24"/>
          <w:szCs w:val="24"/>
          <w:lang w:eastAsia="zh-CN"/>
        </w:rPr>
        <w:t>）</w:t>
      </w:r>
      <w:r>
        <w:rPr>
          <w:rFonts w:ascii="宋体" w:hAnsi="宋体" w:eastAsia="宋体" w:cs="宋体"/>
          <w:bCs/>
          <w:sz w:val="24"/>
          <w:szCs w:val="24"/>
          <w:lang w:eastAsia="zh-CN"/>
        </w:rPr>
        <w:t>1.13 内置电池，电池充满可工作8小时以上；</w:t>
      </w:r>
    </w:p>
    <w:p w14:paraId="33C2537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▲1.14 内置多通道录波模块，支持接入充电桩内部1000V DC信号录波，具备录波分析功能，可实现开关S断开测试、车辆接口断开测试的故障响应时间自动捕获；</w:t>
      </w:r>
    </w:p>
    <w:p w14:paraId="43469E1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w:t>
      </w:r>
      <w:r>
        <w:rPr>
          <w:rFonts w:hint="eastAsia" w:ascii="宋体" w:hAnsi="宋体" w:cs="宋体"/>
          <w:b/>
          <w:bCs/>
          <w:color w:val="auto"/>
          <w:sz w:val="24"/>
          <w:szCs w:val="24"/>
          <w:lang w:eastAsia="zh-CN"/>
        </w:rPr>
        <w:t>）</w:t>
      </w:r>
      <w:r>
        <w:rPr>
          <w:rFonts w:ascii="宋体" w:hAnsi="宋体" w:eastAsia="宋体" w:cs="宋体"/>
          <w:bCs/>
          <w:sz w:val="24"/>
          <w:szCs w:val="24"/>
          <w:lang w:eastAsia="zh-CN"/>
        </w:rPr>
        <w:t>1.15 内置工控机，本机自带windows系统，安装有上位机软件，可直接生成检测报告；</w:t>
      </w:r>
    </w:p>
    <w:p w14:paraId="5BF4BFE3">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w:t>
      </w:r>
      <w:r>
        <w:rPr>
          <w:rFonts w:hint="eastAsia" w:ascii="宋体" w:hAnsi="宋体" w:cs="宋体"/>
          <w:b/>
          <w:bCs/>
          <w:color w:val="auto"/>
          <w:sz w:val="24"/>
          <w:szCs w:val="24"/>
          <w:lang w:eastAsia="zh-CN"/>
        </w:rPr>
        <w:t>）</w:t>
      </w:r>
      <w:r>
        <w:rPr>
          <w:rFonts w:ascii="宋体" w:hAnsi="宋体" w:eastAsia="宋体" w:cs="宋体"/>
          <w:bCs/>
          <w:sz w:val="24"/>
          <w:szCs w:val="24"/>
          <w:lang w:eastAsia="zh-CN"/>
        </w:rPr>
        <w:t>1.16 具备WiFi功能，支持电脑通过WiFi连接远程控制设备；</w:t>
      </w:r>
    </w:p>
    <w:p w14:paraId="7D6AF75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▲1.17满足充电桩电磁兼容试验过程，设备本身发射信号不会影响充电桩测试结果，进行干扰试验时，设备能正常工作。</w:t>
      </w:r>
    </w:p>
    <w:p w14:paraId="26506201">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2.超级充电桩现场特性测试仪：1台</w:t>
      </w:r>
    </w:p>
    <w:p w14:paraId="1EE317E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w:t>
      </w:r>
      <w:r>
        <w:rPr>
          <w:rFonts w:hint="eastAsia" w:ascii="宋体" w:hAnsi="宋体" w:cs="宋体"/>
          <w:b/>
          <w:bCs/>
          <w:color w:val="auto"/>
          <w:sz w:val="24"/>
          <w:szCs w:val="24"/>
          <w:lang w:eastAsia="zh-CN"/>
        </w:rPr>
        <w:t>）</w:t>
      </w:r>
      <w:r>
        <w:rPr>
          <w:rFonts w:ascii="宋体" w:hAnsi="宋体" w:eastAsia="宋体" w:cs="宋体"/>
          <w:bCs/>
          <w:sz w:val="24"/>
          <w:szCs w:val="24"/>
          <w:lang w:eastAsia="zh-CN"/>
        </w:rPr>
        <w:t>2.1 能对超级充电机的计量、协议一致性以及互操作性进行测试</w:t>
      </w:r>
    </w:p>
    <w:p w14:paraId="3FB2567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▲2.2 同时具备GB/T20234.3(2015+)和GB/T20234.4（chaoji）接口，满足两种类型超充桩的检测</w:t>
      </w:r>
    </w:p>
    <w:p w14:paraId="6E5E167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w:t>
      </w:r>
      <w:r>
        <w:rPr>
          <w:rFonts w:hint="eastAsia" w:ascii="宋体" w:hAnsi="宋体" w:cs="宋体"/>
          <w:b/>
          <w:bCs/>
          <w:color w:val="auto"/>
          <w:sz w:val="24"/>
          <w:szCs w:val="24"/>
          <w:lang w:eastAsia="zh-CN"/>
        </w:rPr>
        <w:t>）</w:t>
      </w:r>
      <w:r>
        <w:rPr>
          <w:rFonts w:ascii="宋体" w:hAnsi="宋体" w:eastAsia="宋体" w:cs="宋体"/>
          <w:bCs/>
          <w:sz w:val="24"/>
          <w:szCs w:val="24"/>
          <w:lang w:eastAsia="zh-CN"/>
        </w:rPr>
        <w:t>2.3 具备GB/T27930-2023的A类和B类通信功能</w:t>
      </w:r>
    </w:p>
    <w:p w14:paraId="19E5B79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w:t>
      </w:r>
      <w:r>
        <w:rPr>
          <w:rFonts w:hint="eastAsia" w:ascii="宋体" w:hAnsi="宋体" w:cs="宋体"/>
          <w:b/>
          <w:bCs/>
          <w:color w:val="auto"/>
          <w:sz w:val="24"/>
          <w:szCs w:val="24"/>
          <w:lang w:eastAsia="zh-CN"/>
        </w:rPr>
        <w:t>）</w:t>
      </w:r>
      <w:r>
        <w:rPr>
          <w:rFonts w:ascii="宋体" w:hAnsi="宋体" w:eastAsia="宋体" w:cs="宋体"/>
          <w:bCs/>
          <w:sz w:val="24"/>
          <w:szCs w:val="24"/>
          <w:lang w:eastAsia="zh-CN"/>
        </w:rPr>
        <w:t>2.4 内置系统集成现场校验仪、功率分析仪、示波录波器、BMS拟器软件、车辆直流接口电路模拟盒、绝缘电阻测试仪等部分功能</w:t>
      </w:r>
    </w:p>
    <w:p w14:paraId="2B003152">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评审指标16</w:t>
      </w:r>
      <w:r>
        <w:rPr>
          <w:rFonts w:hint="eastAsia" w:ascii="宋体" w:hAnsi="宋体" w:cs="宋体"/>
          <w:b/>
          <w:bCs/>
          <w:color w:val="auto"/>
          <w:sz w:val="24"/>
          <w:szCs w:val="24"/>
          <w:lang w:eastAsia="zh-CN"/>
        </w:rPr>
        <w:t>）</w:t>
      </w:r>
      <w:r>
        <w:rPr>
          <w:rFonts w:ascii="宋体" w:hAnsi="宋体" w:eastAsia="宋体" w:cs="宋体"/>
          <w:bCs/>
          <w:sz w:val="24"/>
          <w:szCs w:val="24"/>
          <w:lang w:eastAsia="zh-CN"/>
        </w:rPr>
        <w:t>2.5 内置互操作性相关测试电路，可执行相关的故障动作以及相关的检测，只需负载配合，无其他示波器、接口模拟器等设备配合，即可完成互操作性的所有测试项目</w:t>
      </w:r>
    </w:p>
    <w:p w14:paraId="72A43896">
      <w:pPr>
        <w:pStyle w:val="14"/>
        <w:spacing w:line="360" w:lineRule="auto"/>
        <w:jc w:val="both"/>
        <w:outlineLvl w:val="2"/>
        <w:rPr>
          <w:rFonts w:hint="default" w:ascii="宋体" w:hAnsi="宋体" w:eastAsia="宋体" w:cs="宋体"/>
          <w:bCs/>
          <w:color w:val="auto"/>
          <w:sz w:val="24"/>
          <w:szCs w:val="24"/>
          <w:highlight w:val="none"/>
          <w:lang w:eastAsia="zh-CN"/>
        </w:rPr>
      </w:pPr>
      <w:r>
        <w:rPr>
          <w:rFonts w:ascii="宋体" w:hAnsi="宋体" w:eastAsia="宋体" w:cs="宋体"/>
          <w:bCs/>
          <w:color w:val="auto"/>
          <w:sz w:val="24"/>
          <w:szCs w:val="24"/>
          <w:highlight w:val="none"/>
          <w:lang w:eastAsia="zh-CN"/>
        </w:rPr>
        <w:t>2.6 电压测量：</w:t>
      </w:r>
    </w:p>
    <w:p w14:paraId="249D5FE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color w:val="auto"/>
          <w:sz w:val="24"/>
          <w:szCs w:val="24"/>
          <w:highlight w:val="none"/>
          <w:lang w:eastAsia="zh-CN"/>
        </w:rPr>
        <w:t>▲输入范</w:t>
      </w:r>
      <w:r>
        <w:rPr>
          <w:rFonts w:ascii="宋体" w:hAnsi="宋体" w:eastAsia="宋体" w:cs="宋体"/>
          <w:bCs/>
          <w:sz w:val="24"/>
          <w:szCs w:val="24"/>
          <w:lang w:eastAsia="zh-CN"/>
        </w:rPr>
        <w:t>围：0～1500VDC</w:t>
      </w:r>
    </w:p>
    <w:p w14:paraId="35822A8B">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评审指标17</w:t>
      </w:r>
      <w:r>
        <w:rPr>
          <w:rFonts w:hint="eastAsia" w:ascii="宋体" w:hAnsi="宋体" w:cs="宋体"/>
          <w:b/>
          <w:bCs/>
          <w:color w:val="auto"/>
          <w:sz w:val="24"/>
          <w:szCs w:val="24"/>
          <w:lang w:eastAsia="zh-CN"/>
        </w:rPr>
        <w:t>）</w:t>
      </w:r>
      <w:r>
        <w:rPr>
          <w:rFonts w:ascii="宋体" w:hAnsi="宋体" w:eastAsia="宋体" w:cs="宋体"/>
          <w:bCs/>
          <w:sz w:val="24"/>
          <w:szCs w:val="24"/>
          <w:lang w:eastAsia="zh-CN"/>
        </w:rPr>
        <w:t>准确测量范围：100V～1500V</w:t>
      </w:r>
    </w:p>
    <w:p w14:paraId="794A41C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评审指标18</w:t>
      </w:r>
      <w:r>
        <w:rPr>
          <w:rFonts w:hint="eastAsia" w:ascii="宋体" w:hAnsi="宋体" w:cs="宋体"/>
          <w:b/>
          <w:bCs/>
          <w:color w:val="auto"/>
          <w:sz w:val="24"/>
          <w:szCs w:val="24"/>
          <w:lang w:eastAsia="zh-CN"/>
        </w:rPr>
        <w:t>）</w:t>
      </w:r>
      <w:r>
        <w:rPr>
          <w:rFonts w:ascii="宋体" w:hAnsi="宋体" w:eastAsia="宋体" w:cs="宋体"/>
          <w:bCs/>
          <w:sz w:val="24"/>
          <w:szCs w:val="24"/>
          <w:lang w:eastAsia="zh-CN"/>
        </w:rPr>
        <w:t>准确度： ±0.05%RD（RD为读数）</w:t>
      </w:r>
    </w:p>
    <w:p w14:paraId="37582625">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评审指标19</w:t>
      </w:r>
      <w:r>
        <w:rPr>
          <w:rFonts w:hint="eastAsia" w:ascii="宋体" w:hAnsi="宋体" w:cs="宋体"/>
          <w:b/>
          <w:bCs/>
          <w:color w:val="auto"/>
          <w:sz w:val="24"/>
          <w:szCs w:val="24"/>
          <w:lang w:eastAsia="zh-CN"/>
        </w:rPr>
        <w:t>）</w:t>
      </w:r>
      <w:r>
        <w:rPr>
          <w:rFonts w:ascii="宋体" w:hAnsi="宋体" w:eastAsia="宋体" w:cs="宋体"/>
          <w:bCs/>
          <w:sz w:val="24"/>
          <w:szCs w:val="24"/>
          <w:lang w:eastAsia="zh-CN"/>
        </w:rPr>
        <w:t>2.7 电流测量：</w:t>
      </w:r>
    </w:p>
    <w:p w14:paraId="45FDF6C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输入范围： 0～800A</w:t>
      </w:r>
    </w:p>
    <w:p w14:paraId="5C91A99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准确测量范围：1A～800A</w:t>
      </w:r>
    </w:p>
    <w:p w14:paraId="1A417AF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准确度：±0.05%RD（RD为读数）</w:t>
      </w:r>
    </w:p>
    <w:p w14:paraId="44FB492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评审指标20</w:t>
      </w:r>
      <w:r>
        <w:rPr>
          <w:rFonts w:hint="eastAsia" w:ascii="宋体" w:hAnsi="宋体" w:cs="宋体"/>
          <w:b/>
          <w:bCs/>
          <w:color w:val="auto"/>
          <w:sz w:val="24"/>
          <w:szCs w:val="24"/>
          <w:lang w:eastAsia="zh-CN"/>
        </w:rPr>
        <w:t>）</w:t>
      </w:r>
      <w:r>
        <w:rPr>
          <w:rFonts w:ascii="宋体" w:hAnsi="宋体" w:eastAsia="宋体" w:cs="宋体"/>
          <w:bCs/>
          <w:sz w:val="24"/>
          <w:szCs w:val="24"/>
          <w:lang w:eastAsia="zh-CN"/>
        </w:rPr>
        <w:t>2.8 功率、电能测量准确度：±0.05%RD (RD为读数)</w:t>
      </w:r>
    </w:p>
    <w:p w14:paraId="64EB072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▲2.9 内置功率分析模块，可对充电桩的交流输入电参数进行检测，功率测量准确度为±0.5%RD，电压为220V，电流为0.1～1500A</w:t>
      </w:r>
    </w:p>
    <w:p w14:paraId="24F2D6C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▲2.10 内置的绝缘电阻测量功能，电阻测量范围：1MΩ～50MΩ</w:t>
      </w:r>
    </w:p>
    <w:p w14:paraId="4BB7D25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纹波测量：准确度：0.5%RG带宽：≥6kHz </w:t>
      </w:r>
    </w:p>
    <w:p w14:paraId="1C5FEFAA">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评审指标21</w:t>
      </w:r>
      <w:r>
        <w:rPr>
          <w:rFonts w:hint="eastAsia" w:ascii="宋体" w:hAnsi="宋体" w:cs="宋体"/>
          <w:b/>
          <w:bCs/>
          <w:color w:val="auto"/>
          <w:sz w:val="24"/>
          <w:szCs w:val="24"/>
          <w:lang w:eastAsia="zh-CN"/>
        </w:rPr>
        <w:t>）</w:t>
      </w:r>
      <w:r>
        <w:rPr>
          <w:rFonts w:ascii="宋体" w:hAnsi="宋体" w:eastAsia="宋体" w:cs="宋体"/>
          <w:bCs/>
          <w:sz w:val="24"/>
          <w:szCs w:val="24"/>
          <w:lang w:eastAsia="zh-CN"/>
        </w:rPr>
        <w:t>2.11 机器自身面板具备充电枪接口中所有信号的引出接口，信号包含DC+、DC-、GND、S+、S-、CC1、CC2、A+、A-</w:t>
      </w:r>
    </w:p>
    <w:p w14:paraId="06191A04">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评审指标22</w:t>
      </w:r>
      <w:r>
        <w:rPr>
          <w:rFonts w:hint="eastAsia" w:ascii="宋体" w:hAnsi="宋体" w:cs="宋体"/>
          <w:b/>
          <w:bCs/>
          <w:color w:val="auto"/>
          <w:sz w:val="24"/>
          <w:szCs w:val="24"/>
          <w:lang w:eastAsia="zh-CN"/>
        </w:rPr>
        <w:t>）</w:t>
      </w:r>
      <w:r>
        <w:rPr>
          <w:rFonts w:ascii="宋体" w:hAnsi="宋体" w:eastAsia="宋体" w:cs="宋体"/>
          <w:bCs/>
          <w:sz w:val="24"/>
          <w:szCs w:val="24"/>
          <w:lang w:eastAsia="zh-CN"/>
        </w:rPr>
        <w:t>2.12 具备电能脉冲输入和电能脉冲输出接口</w:t>
      </w:r>
    </w:p>
    <w:p w14:paraId="76925ED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▲2.13 具备BMS模拟器功能和内部蓄电池电压模拟器，用于充电机开启的电压检测</w:t>
      </w:r>
    </w:p>
    <w:p w14:paraId="24768718">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评审指标23</w:t>
      </w:r>
      <w:r>
        <w:rPr>
          <w:rFonts w:hint="eastAsia" w:ascii="宋体" w:hAnsi="宋体" w:cs="宋体"/>
          <w:b/>
          <w:bCs/>
          <w:color w:val="auto"/>
          <w:sz w:val="24"/>
          <w:szCs w:val="24"/>
          <w:lang w:eastAsia="zh-CN"/>
        </w:rPr>
        <w:t>）</w:t>
      </w:r>
      <w:r>
        <w:rPr>
          <w:rFonts w:ascii="宋体" w:hAnsi="宋体" w:eastAsia="宋体" w:cs="宋体"/>
          <w:bCs/>
          <w:sz w:val="24"/>
          <w:szCs w:val="24"/>
          <w:lang w:eastAsia="zh-CN"/>
        </w:rPr>
        <w:t>2.14 内置电池，电池充满可工作8小时以上</w:t>
      </w:r>
    </w:p>
    <w:p w14:paraId="022153E2">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评审指标24</w:t>
      </w:r>
      <w:r>
        <w:rPr>
          <w:rFonts w:hint="eastAsia" w:ascii="宋体" w:hAnsi="宋体" w:cs="宋体"/>
          <w:b/>
          <w:bCs/>
          <w:color w:val="auto"/>
          <w:sz w:val="24"/>
          <w:szCs w:val="24"/>
          <w:lang w:eastAsia="zh-CN"/>
        </w:rPr>
        <w:t>）</w:t>
      </w:r>
      <w:r>
        <w:rPr>
          <w:rFonts w:ascii="宋体" w:hAnsi="宋体" w:eastAsia="宋体" w:cs="宋体"/>
          <w:bCs/>
          <w:sz w:val="24"/>
          <w:szCs w:val="24"/>
          <w:lang w:eastAsia="zh-CN"/>
        </w:rPr>
        <w:t>2.15 内嵌GPS模块，实现北京时间对时，参考时钟误差不大于1秒</w:t>
      </w:r>
    </w:p>
    <w:p w14:paraId="16A03A6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▲2.16 内置多通道录波模块，支持接入充电桩内部1500V DC信号录波，具备录波分析功能，可实现开关S断开测试、车辆接口断开测试的故障响应时间自动捕获；</w:t>
      </w:r>
    </w:p>
    <w:p w14:paraId="18D51517">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评审指标25</w:t>
      </w:r>
      <w:r>
        <w:rPr>
          <w:rFonts w:hint="eastAsia" w:ascii="宋体" w:hAnsi="宋体" w:cs="宋体"/>
          <w:b/>
          <w:bCs/>
          <w:color w:val="auto"/>
          <w:sz w:val="24"/>
          <w:szCs w:val="24"/>
          <w:lang w:eastAsia="zh-CN"/>
        </w:rPr>
        <w:t>）</w:t>
      </w:r>
      <w:r>
        <w:rPr>
          <w:rFonts w:ascii="宋体" w:hAnsi="宋体" w:eastAsia="宋体" w:cs="宋体"/>
          <w:bCs/>
          <w:sz w:val="24"/>
          <w:szCs w:val="24"/>
          <w:lang w:eastAsia="zh-CN"/>
        </w:rPr>
        <w:t>2.17 内置工控机，本机自带windows系统，安装有上位机软件，可直接生成检测报告；</w:t>
      </w:r>
    </w:p>
    <w:p w14:paraId="109B4D9A">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评审指标26</w:t>
      </w:r>
      <w:r>
        <w:rPr>
          <w:rFonts w:hint="eastAsia" w:ascii="宋体" w:hAnsi="宋体" w:cs="宋体"/>
          <w:b/>
          <w:bCs/>
          <w:color w:val="auto"/>
          <w:sz w:val="24"/>
          <w:szCs w:val="24"/>
          <w:lang w:eastAsia="zh-CN"/>
        </w:rPr>
        <w:t>）</w:t>
      </w:r>
      <w:r>
        <w:rPr>
          <w:rFonts w:ascii="宋体" w:hAnsi="宋体" w:eastAsia="宋体" w:cs="宋体"/>
          <w:bCs/>
          <w:sz w:val="24"/>
          <w:szCs w:val="24"/>
          <w:lang w:eastAsia="zh-CN"/>
        </w:rPr>
        <w:t>2.18 具备WiFi功能，支持电脑通过WiFi连接远程控制设备；</w:t>
      </w:r>
    </w:p>
    <w:p w14:paraId="157120B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▲2.19 满足充电桩电磁兼容试验过程，设备本身发射信号不会影响充电桩测试结果，进行干扰试验时，设备能正常工作。</w:t>
      </w:r>
    </w:p>
    <w:p w14:paraId="28D6C338">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3.直流可编程负载：2台</w:t>
      </w:r>
    </w:p>
    <w:p w14:paraId="14D95DEB">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评审指标27</w:t>
      </w:r>
      <w:r>
        <w:rPr>
          <w:rFonts w:hint="eastAsia" w:ascii="宋体" w:hAnsi="宋体" w:cs="宋体"/>
          <w:b/>
          <w:bCs/>
          <w:color w:val="auto"/>
          <w:sz w:val="24"/>
          <w:szCs w:val="24"/>
          <w:lang w:eastAsia="zh-CN"/>
        </w:rPr>
        <w:t>）</w:t>
      </w:r>
      <w:r>
        <w:rPr>
          <w:rFonts w:ascii="宋体" w:hAnsi="宋体" w:eastAsia="宋体" w:cs="宋体"/>
          <w:bCs/>
          <w:sz w:val="24"/>
          <w:szCs w:val="24"/>
          <w:lang w:eastAsia="zh-CN"/>
        </w:rPr>
        <w:t>3.1 直流电压输入范围：0~1000V，直流电流输入范围：0~75A，直流功率范围：0~30kW，两台并机60kW，具有多机并联功能；</w:t>
      </w:r>
    </w:p>
    <w:p w14:paraId="740267E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▲3.2 交流电压输入范围：0~500V，交流电流输入范围：0~40A，交流功率范围：0~9kW；</w:t>
      </w:r>
    </w:p>
    <w:p w14:paraId="158CBC07">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评审指标28</w:t>
      </w:r>
      <w:r>
        <w:rPr>
          <w:rFonts w:hint="eastAsia" w:ascii="宋体" w:hAnsi="宋体" w:cs="宋体"/>
          <w:b/>
          <w:bCs/>
          <w:color w:val="auto"/>
          <w:sz w:val="24"/>
          <w:szCs w:val="24"/>
          <w:lang w:eastAsia="zh-CN"/>
        </w:rPr>
        <w:t>）</w:t>
      </w:r>
      <w:r>
        <w:rPr>
          <w:rFonts w:ascii="宋体" w:hAnsi="宋体" w:eastAsia="宋体" w:cs="宋体"/>
          <w:bCs/>
          <w:sz w:val="24"/>
          <w:szCs w:val="24"/>
          <w:lang w:eastAsia="zh-CN"/>
        </w:rPr>
        <w:t>3.3 电流步进：≤0.1A</w:t>
      </w:r>
    </w:p>
    <w:p w14:paraId="7F4CCEC8">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评审指标29</w:t>
      </w:r>
      <w:r>
        <w:rPr>
          <w:rFonts w:hint="eastAsia" w:ascii="宋体" w:hAnsi="宋体" w:cs="宋体"/>
          <w:b/>
          <w:bCs/>
          <w:color w:val="auto"/>
          <w:sz w:val="24"/>
          <w:szCs w:val="24"/>
          <w:lang w:eastAsia="zh-CN"/>
        </w:rPr>
        <w:t>）</w:t>
      </w:r>
      <w:r>
        <w:rPr>
          <w:rFonts w:ascii="宋体" w:hAnsi="宋体" w:eastAsia="宋体" w:cs="宋体"/>
          <w:bCs/>
          <w:sz w:val="24"/>
          <w:szCs w:val="24"/>
          <w:lang w:eastAsia="zh-CN"/>
        </w:rPr>
        <w:t>3.4 可编程功能:具备恒电流、恒电压、恒功率以及恒电阻功能，直流恒功率范围覆盖400V~1000V；</w:t>
      </w:r>
    </w:p>
    <w:p w14:paraId="2F8D881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▲3.5 具备触摸显示屏，可实时显示加载的电压、电流，能本地设定负载点，方便送检；</w:t>
      </w:r>
    </w:p>
    <w:p w14:paraId="3EAEE024">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评审指标30</w:t>
      </w:r>
      <w:r>
        <w:rPr>
          <w:rFonts w:hint="eastAsia" w:ascii="宋体" w:hAnsi="宋体" w:cs="宋体"/>
          <w:b/>
          <w:bCs/>
          <w:color w:val="auto"/>
          <w:sz w:val="24"/>
          <w:szCs w:val="24"/>
          <w:lang w:eastAsia="zh-CN"/>
        </w:rPr>
        <w:t>）</w:t>
      </w:r>
      <w:r>
        <w:rPr>
          <w:rFonts w:ascii="宋体" w:hAnsi="宋体" w:eastAsia="宋体" w:cs="宋体"/>
          <w:bCs/>
          <w:sz w:val="24"/>
          <w:szCs w:val="24"/>
          <w:lang w:eastAsia="zh-CN"/>
        </w:rPr>
        <w:t xml:space="preserve">3.6 可通过充电机现场测试仪实现自动换挡功能； </w:t>
      </w:r>
    </w:p>
    <w:p w14:paraId="69AB7A6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▲3.7 直流负载可做单相交流负载使用；</w:t>
      </w:r>
    </w:p>
    <w:p w14:paraId="495ED42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▲3.8 负载散热采用前进风后出风散热，可上下两台叠加在一起，也可安装在标准机柜，方便实验室场地有限时安装摆放；</w:t>
      </w:r>
    </w:p>
    <w:p w14:paraId="0D886F2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评审指标31</w:t>
      </w:r>
      <w:r>
        <w:rPr>
          <w:rFonts w:hint="eastAsia" w:ascii="宋体" w:hAnsi="宋体" w:cs="宋体"/>
          <w:b/>
          <w:bCs/>
          <w:color w:val="auto"/>
          <w:sz w:val="24"/>
          <w:szCs w:val="24"/>
          <w:lang w:eastAsia="zh-CN"/>
        </w:rPr>
        <w:t>）</w:t>
      </w:r>
      <w:r>
        <w:rPr>
          <w:rFonts w:ascii="宋体" w:hAnsi="宋体" w:eastAsia="宋体" w:cs="宋体"/>
          <w:bCs/>
          <w:sz w:val="24"/>
          <w:szCs w:val="24"/>
          <w:lang w:eastAsia="zh-CN"/>
        </w:rPr>
        <w:t>3.9 满足充电桩电磁兼容试验过程，设备本身发射信号不会影响充电桩测试结果，进行干扰试验时，设备能正常工作。</w:t>
      </w:r>
    </w:p>
    <w:p w14:paraId="4C98B3A9">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4.交流充电桩现场特性测试仪：1台</w:t>
      </w:r>
    </w:p>
    <w:p w14:paraId="3A213E7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▲4.1 满足对国标、欧标交流充电桩的计量检定、互操作性项目进行测试，可自动生成测试报告；</w:t>
      </w:r>
    </w:p>
    <w:p w14:paraId="3F2B386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评审指标32</w:t>
      </w:r>
      <w:r>
        <w:rPr>
          <w:rFonts w:hint="eastAsia" w:ascii="宋体" w:hAnsi="宋体" w:cs="宋体"/>
          <w:b/>
          <w:bCs/>
          <w:color w:val="auto"/>
          <w:sz w:val="24"/>
          <w:szCs w:val="24"/>
          <w:lang w:eastAsia="zh-CN"/>
        </w:rPr>
        <w:t>）</w:t>
      </w:r>
      <w:r>
        <w:rPr>
          <w:rFonts w:ascii="宋体" w:hAnsi="宋体" w:eastAsia="宋体" w:cs="宋体"/>
          <w:bCs/>
          <w:sz w:val="24"/>
          <w:szCs w:val="24"/>
          <w:lang w:eastAsia="zh-CN"/>
        </w:rPr>
        <w:t>4.2 内置高精度直流标准表、BMS模拟器、录波模块、功率分析模块、控制导引相关电路，可与充电机实现交互；</w:t>
      </w:r>
    </w:p>
    <w:p w14:paraId="56D04734">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评审指标33</w:t>
      </w:r>
      <w:r>
        <w:rPr>
          <w:rFonts w:hint="eastAsia" w:ascii="宋体" w:hAnsi="宋体" w:cs="宋体"/>
          <w:b/>
          <w:bCs/>
          <w:color w:val="auto"/>
          <w:sz w:val="24"/>
          <w:szCs w:val="24"/>
          <w:lang w:eastAsia="zh-CN"/>
        </w:rPr>
        <w:t>）</w:t>
      </w:r>
      <w:r>
        <w:rPr>
          <w:rFonts w:ascii="宋体" w:hAnsi="宋体" w:eastAsia="宋体" w:cs="宋体"/>
          <w:bCs/>
          <w:sz w:val="24"/>
          <w:szCs w:val="24"/>
          <w:lang w:eastAsia="zh-CN"/>
        </w:rPr>
        <w:t>4.3 相数：兼容单相和三相</w:t>
      </w:r>
    </w:p>
    <w:p w14:paraId="7AF128E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评审指标34</w:t>
      </w:r>
      <w:r>
        <w:rPr>
          <w:rFonts w:hint="eastAsia" w:ascii="宋体" w:hAnsi="宋体" w:cs="宋体"/>
          <w:b/>
          <w:bCs/>
          <w:color w:val="auto"/>
          <w:sz w:val="24"/>
          <w:szCs w:val="24"/>
          <w:lang w:eastAsia="zh-CN"/>
        </w:rPr>
        <w:t>）</w:t>
      </w:r>
      <w:r>
        <w:rPr>
          <w:rFonts w:ascii="宋体" w:hAnsi="宋体" w:eastAsia="宋体" w:cs="宋体"/>
          <w:bCs/>
          <w:sz w:val="24"/>
          <w:szCs w:val="24"/>
          <w:lang w:eastAsia="zh-CN"/>
        </w:rPr>
        <w:t>4.4 电压测量：</w:t>
      </w:r>
    </w:p>
    <w:p w14:paraId="6FA0064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输入范围： 0～264VAC</w:t>
      </w:r>
    </w:p>
    <w:p w14:paraId="77400B8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准确测量范围：110～264V</w:t>
      </w:r>
    </w:p>
    <w:p w14:paraId="7B5E558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准确度：±0.05%RD (RD为读数)</w:t>
      </w:r>
    </w:p>
    <w:p w14:paraId="4F4BAE56">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评审指标35</w:t>
      </w:r>
      <w:r>
        <w:rPr>
          <w:rFonts w:hint="eastAsia" w:ascii="宋体" w:hAnsi="宋体" w:cs="宋体"/>
          <w:b/>
          <w:bCs/>
          <w:color w:val="auto"/>
          <w:sz w:val="24"/>
          <w:szCs w:val="24"/>
          <w:lang w:eastAsia="zh-CN"/>
        </w:rPr>
        <w:t>）</w:t>
      </w:r>
      <w:r>
        <w:rPr>
          <w:rFonts w:ascii="宋体" w:hAnsi="宋体" w:eastAsia="宋体" w:cs="宋体"/>
          <w:bCs/>
          <w:sz w:val="24"/>
          <w:szCs w:val="24"/>
          <w:lang w:eastAsia="zh-CN"/>
        </w:rPr>
        <w:t>4.5 电流测量：</w:t>
      </w:r>
    </w:p>
    <w:p w14:paraId="2EADAAB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输入范围： 0～70A</w:t>
      </w:r>
    </w:p>
    <w:p w14:paraId="0EF8AAB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准确测量范围：0.5～70A</w:t>
      </w:r>
    </w:p>
    <w:p w14:paraId="25479CC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准确度：±0.05%RD(RD为读数)</w:t>
      </w:r>
    </w:p>
    <w:p w14:paraId="55CD7AFF">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评审指标36</w:t>
      </w:r>
      <w:r>
        <w:rPr>
          <w:rFonts w:hint="eastAsia" w:ascii="宋体" w:hAnsi="宋体" w:cs="宋体"/>
          <w:b/>
          <w:bCs/>
          <w:color w:val="auto"/>
          <w:sz w:val="24"/>
          <w:szCs w:val="24"/>
          <w:lang w:eastAsia="zh-CN"/>
        </w:rPr>
        <w:t>）</w:t>
      </w:r>
      <w:r>
        <w:rPr>
          <w:rFonts w:ascii="宋体" w:hAnsi="宋体" w:eastAsia="宋体" w:cs="宋体"/>
          <w:bCs/>
          <w:sz w:val="24"/>
          <w:szCs w:val="24"/>
          <w:lang w:eastAsia="zh-CN"/>
        </w:rPr>
        <w:t>4.6 功率、电能测量准确度：±0.05%RD (RD为读数)</w:t>
      </w:r>
    </w:p>
    <w:p w14:paraId="5649819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评审指标37</w:t>
      </w:r>
      <w:r>
        <w:rPr>
          <w:rFonts w:hint="eastAsia" w:ascii="宋体" w:hAnsi="宋体" w:cs="宋体"/>
          <w:b/>
          <w:bCs/>
          <w:color w:val="auto"/>
          <w:sz w:val="24"/>
          <w:szCs w:val="24"/>
          <w:lang w:eastAsia="zh-CN"/>
        </w:rPr>
        <w:t>）</w:t>
      </w:r>
      <w:r>
        <w:rPr>
          <w:rFonts w:ascii="宋体" w:hAnsi="宋体" w:eastAsia="宋体" w:cs="宋体"/>
          <w:bCs/>
          <w:sz w:val="24"/>
          <w:szCs w:val="24"/>
          <w:lang w:eastAsia="zh-CN"/>
        </w:rPr>
        <w:t>4.7 电压、电流以及电能指标准确度等级不低于0.05级，投标时提供省级及以上法定计量检定机构出具的检定或校准报告复印件证明；</w:t>
      </w:r>
    </w:p>
    <w:p w14:paraId="79E7795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▲4.8 内置1000V绝缘电阻检测功能，电阻测量范围：1 MΩ～40MΩ，绝缘电压：1000V；</w:t>
      </w:r>
    </w:p>
    <w:p w14:paraId="65895C2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评审指标38</w:t>
      </w:r>
      <w:r>
        <w:rPr>
          <w:rFonts w:hint="eastAsia" w:ascii="宋体" w:hAnsi="宋体" w:cs="宋体"/>
          <w:b/>
          <w:bCs/>
          <w:color w:val="auto"/>
          <w:sz w:val="24"/>
          <w:szCs w:val="24"/>
          <w:lang w:eastAsia="zh-CN"/>
        </w:rPr>
        <w:t>）</w:t>
      </w:r>
      <w:r>
        <w:rPr>
          <w:rFonts w:ascii="宋体" w:hAnsi="宋体" w:eastAsia="宋体" w:cs="宋体"/>
          <w:bCs/>
          <w:sz w:val="24"/>
          <w:szCs w:val="24"/>
          <w:lang w:eastAsia="zh-CN"/>
        </w:rPr>
        <w:t>4.9 面板具备充电枪接口中所有信号的引出接口，信号包含L1、L2、L3、N、PE、CC、CP；</w:t>
      </w:r>
    </w:p>
    <w:p w14:paraId="6765DBC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评审指标39</w:t>
      </w:r>
      <w:r>
        <w:rPr>
          <w:rFonts w:hint="eastAsia" w:ascii="宋体" w:hAnsi="宋体" w:cs="宋体"/>
          <w:b/>
          <w:bCs/>
          <w:color w:val="auto"/>
          <w:sz w:val="24"/>
          <w:szCs w:val="24"/>
          <w:lang w:eastAsia="zh-CN"/>
        </w:rPr>
        <w:t>）</w:t>
      </w:r>
      <w:r>
        <w:rPr>
          <w:rFonts w:ascii="宋体" w:hAnsi="宋体" w:eastAsia="宋体" w:cs="宋体"/>
          <w:bCs/>
          <w:sz w:val="24"/>
          <w:szCs w:val="24"/>
          <w:lang w:eastAsia="zh-CN"/>
        </w:rPr>
        <w:t>4.10 内嵌GPS模块，实现北京时间对时，并对充电桩的北京时间对时。</w:t>
      </w:r>
    </w:p>
    <w:p w14:paraId="0B70351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评审指标40</w:t>
      </w:r>
      <w:r>
        <w:rPr>
          <w:rFonts w:hint="eastAsia" w:ascii="宋体" w:hAnsi="宋体" w:cs="宋体"/>
          <w:b/>
          <w:bCs/>
          <w:color w:val="auto"/>
          <w:sz w:val="24"/>
          <w:szCs w:val="24"/>
          <w:lang w:eastAsia="zh-CN"/>
        </w:rPr>
        <w:t>）</w:t>
      </w:r>
      <w:r>
        <w:rPr>
          <w:rFonts w:ascii="宋体" w:hAnsi="宋体" w:eastAsia="宋体" w:cs="宋体"/>
          <w:bCs/>
          <w:sz w:val="24"/>
          <w:szCs w:val="24"/>
          <w:lang w:eastAsia="zh-CN"/>
        </w:rPr>
        <w:t>4.11 可对单相和三相交流充电桩进行检测；</w:t>
      </w:r>
    </w:p>
    <w:p w14:paraId="6E6AEEC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评审指标41</w:t>
      </w:r>
      <w:r>
        <w:rPr>
          <w:rFonts w:hint="eastAsia" w:ascii="宋体" w:hAnsi="宋体" w:cs="宋体"/>
          <w:b/>
          <w:bCs/>
          <w:color w:val="auto"/>
          <w:sz w:val="24"/>
          <w:szCs w:val="24"/>
          <w:lang w:eastAsia="zh-CN"/>
        </w:rPr>
        <w:t>）</w:t>
      </w:r>
      <w:r>
        <w:rPr>
          <w:rFonts w:ascii="宋体" w:hAnsi="宋体" w:eastAsia="宋体" w:cs="宋体"/>
          <w:bCs/>
          <w:sz w:val="24"/>
          <w:szCs w:val="24"/>
          <w:lang w:eastAsia="zh-CN"/>
        </w:rPr>
        <w:t>4.12 内置电池，电池充满可工作8小时以上；</w:t>
      </w:r>
    </w:p>
    <w:p w14:paraId="547DD4E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▲4.13 内置多通道录波模块，支持接入充电桩内部380V AC 电压信号录波，具备录波分析功能，可实现CP断线测试、CP接地测试的故障响应时间自动捕获；</w:t>
      </w:r>
    </w:p>
    <w:p w14:paraId="4BB532D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评审指标42</w:t>
      </w:r>
      <w:r>
        <w:rPr>
          <w:rFonts w:hint="eastAsia" w:ascii="宋体" w:hAnsi="宋体" w:cs="宋体"/>
          <w:b/>
          <w:bCs/>
          <w:color w:val="auto"/>
          <w:sz w:val="24"/>
          <w:szCs w:val="24"/>
          <w:lang w:eastAsia="zh-CN"/>
        </w:rPr>
        <w:t>）</w:t>
      </w:r>
      <w:r>
        <w:rPr>
          <w:rFonts w:ascii="宋体" w:hAnsi="宋体" w:eastAsia="宋体" w:cs="宋体"/>
          <w:bCs/>
          <w:sz w:val="24"/>
          <w:szCs w:val="24"/>
          <w:lang w:eastAsia="zh-CN"/>
        </w:rPr>
        <w:t>4.14 内置工控机，本机自带windows系统，安装有上位机软件，可直接生成检测报告；</w:t>
      </w:r>
    </w:p>
    <w:p w14:paraId="4AA21AE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评审指标43</w:t>
      </w:r>
      <w:r>
        <w:rPr>
          <w:rFonts w:hint="eastAsia" w:ascii="宋体" w:hAnsi="宋体" w:cs="宋体"/>
          <w:b/>
          <w:bCs/>
          <w:color w:val="auto"/>
          <w:sz w:val="24"/>
          <w:szCs w:val="24"/>
          <w:lang w:eastAsia="zh-CN"/>
        </w:rPr>
        <w:t>）</w:t>
      </w:r>
      <w:r>
        <w:rPr>
          <w:rFonts w:ascii="宋体" w:hAnsi="宋体" w:eastAsia="宋体" w:cs="宋体"/>
          <w:bCs/>
          <w:sz w:val="24"/>
          <w:szCs w:val="24"/>
          <w:lang w:eastAsia="zh-CN"/>
        </w:rPr>
        <w:t>4.15 具备WiFi功能，支持电脑通过WiFi连接远程控制设备；</w:t>
      </w:r>
    </w:p>
    <w:p w14:paraId="1C8001B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▲4.16 满足充电桩电磁兼容试验过程，设备本身发射信号不会影响充电桩测试结果，进行干扰试验时，设备能正常工作。</w:t>
      </w:r>
    </w:p>
    <w:p w14:paraId="075AF30A">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5.三相交流可编程负载：1台</w:t>
      </w:r>
    </w:p>
    <w:p w14:paraId="5601437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评审指标44</w:t>
      </w:r>
      <w:r>
        <w:rPr>
          <w:rFonts w:hint="eastAsia" w:ascii="宋体" w:hAnsi="宋体" w:cs="宋体"/>
          <w:b/>
          <w:bCs/>
          <w:color w:val="auto"/>
          <w:sz w:val="24"/>
          <w:szCs w:val="24"/>
          <w:lang w:eastAsia="zh-CN"/>
        </w:rPr>
        <w:t>）</w:t>
      </w:r>
      <w:r>
        <w:rPr>
          <w:rFonts w:ascii="宋体" w:hAnsi="宋体" w:eastAsia="宋体" w:cs="宋体"/>
          <w:bCs/>
          <w:sz w:val="24"/>
          <w:szCs w:val="24"/>
          <w:lang w:eastAsia="zh-CN"/>
        </w:rPr>
        <w:t>5.1 交流负载相数：兼容单相和三相；</w:t>
      </w:r>
    </w:p>
    <w:p w14:paraId="3D816233">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评审指标45</w:t>
      </w:r>
      <w:r>
        <w:rPr>
          <w:rFonts w:hint="eastAsia" w:ascii="宋体" w:hAnsi="宋体" w:cs="宋体"/>
          <w:b/>
          <w:bCs/>
          <w:color w:val="auto"/>
          <w:sz w:val="24"/>
          <w:szCs w:val="24"/>
          <w:lang w:eastAsia="zh-CN"/>
        </w:rPr>
        <w:t>）</w:t>
      </w:r>
      <w:r>
        <w:rPr>
          <w:rFonts w:ascii="宋体" w:hAnsi="宋体" w:eastAsia="宋体" w:cs="宋体"/>
          <w:bCs/>
          <w:sz w:val="24"/>
          <w:szCs w:val="24"/>
          <w:lang w:eastAsia="zh-CN"/>
        </w:rPr>
        <w:t>5.2 交流电压输入范围：0~242V（相电压）；电流输入范围：0~36A；功率输入范围：0~24kW；</w:t>
      </w:r>
    </w:p>
    <w:p w14:paraId="0AA8E3BF">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评审指标46</w:t>
      </w:r>
      <w:r>
        <w:rPr>
          <w:rFonts w:hint="eastAsia" w:ascii="宋体" w:hAnsi="宋体" w:cs="宋体"/>
          <w:b/>
          <w:bCs/>
          <w:color w:val="auto"/>
          <w:sz w:val="24"/>
          <w:szCs w:val="24"/>
          <w:lang w:eastAsia="zh-CN"/>
        </w:rPr>
        <w:t>）</w:t>
      </w:r>
      <w:r>
        <w:rPr>
          <w:rFonts w:ascii="宋体" w:hAnsi="宋体" w:eastAsia="宋体" w:cs="宋体"/>
          <w:bCs/>
          <w:sz w:val="24"/>
          <w:szCs w:val="24"/>
          <w:lang w:eastAsia="zh-CN"/>
        </w:rPr>
        <w:t>5.3 电流步进：≤0.1A</w:t>
      </w:r>
    </w:p>
    <w:p w14:paraId="04116B0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评审指标47</w:t>
      </w:r>
      <w:r>
        <w:rPr>
          <w:rFonts w:hint="eastAsia" w:ascii="宋体" w:hAnsi="宋体" w:cs="宋体"/>
          <w:b/>
          <w:bCs/>
          <w:color w:val="auto"/>
          <w:sz w:val="24"/>
          <w:szCs w:val="24"/>
          <w:lang w:eastAsia="zh-CN"/>
        </w:rPr>
        <w:t>）</w:t>
      </w:r>
      <w:r>
        <w:rPr>
          <w:rFonts w:ascii="宋体" w:hAnsi="宋体" w:eastAsia="宋体" w:cs="宋体"/>
          <w:bCs/>
          <w:sz w:val="24"/>
          <w:szCs w:val="24"/>
          <w:lang w:eastAsia="zh-CN"/>
        </w:rPr>
        <w:t>5.4 具备恒电流、恒功率以及恒电阻功能，可跟同类型负载多机并联；</w:t>
      </w:r>
    </w:p>
    <w:p w14:paraId="02EC9DE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▲5.5 具备触摸显示屏，可实时显示加载的电压、电流，能本地设定负载点，方便送检；</w:t>
      </w:r>
    </w:p>
    <w:p w14:paraId="1299B5F7">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评审指标48</w:t>
      </w:r>
      <w:r>
        <w:rPr>
          <w:rFonts w:hint="eastAsia" w:ascii="宋体" w:hAnsi="宋体" w:cs="宋体"/>
          <w:b/>
          <w:bCs/>
          <w:color w:val="auto"/>
          <w:sz w:val="24"/>
          <w:szCs w:val="24"/>
          <w:lang w:eastAsia="zh-CN"/>
        </w:rPr>
        <w:t>）</w:t>
      </w:r>
      <w:r>
        <w:rPr>
          <w:rFonts w:ascii="宋体" w:hAnsi="宋体" w:eastAsia="宋体" w:cs="宋体"/>
          <w:bCs/>
          <w:sz w:val="24"/>
          <w:szCs w:val="24"/>
          <w:lang w:eastAsia="zh-CN"/>
        </w:rPr>
        <w:t xml:space="preserve">5.6 可通过充电机现场测试仪实现自动换挡功能； </w:t>
      </w:r>
    </w:p>
    <w:p w14:paraId="451698F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▲5.7 负载散热采用前进风后出风散热，可上下两台叠加在一起，也可安装在标准机柜，方便实验室场地有限时安装摆放；</w:t>
      </w:r>
    </w:p>
    <w:p w14:paraId="253233A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▲5.8 满足充电桩电磁兼容试验过程，设备本身发射信号不会影响充电桩测试结果，进行干扰试验时，设备能正常工作。</w:t>
      </w:r>
    </w:p>
    <w:p w14:paraId="3ADB9674">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（二） 性能要求：</w:t>
      </w:r>
    </w:p>
    <w:p w14:paraId="597C1E9A">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评审指标49</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1.环境试验要求</w:t>
      </w:r>
    </w:p>
    <w:p w14:paraId="3DC930AF">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交直流特性测试仪都通过GB/T2423环境试验第二部分的试验A：低温，试验B：高温；试验Db：交变湿热试验</w:t>
      </w:r>
      <w:r>
        <w:rPr>
          <w:rFonts w:hint="eastAsia" w:ascii="宋体" w:hAnsi="宋体" w:eastAsia="宋体" w:cs="宋体"/>
          <w:bCs/>
          <w:sz w:val="24"/>
          <w:szCs w:val="24"/>
          <w:highlight w:val="none"/>
          <w:lang w:eastAsia="zh-CN"/>
        </w:rPr>
        <w:t>。</w:t>
      </w:r>
      <w:r>
        <w:rPr>
          <w:rFonts w:hint="eastAsia" w:ascii="宋体" w:hAnsi="宋体" w:eastAsia="宋体" w:cs="宋体"/>
          <w:b/>
          <w:bCs w:val="0"/>
          <w:sz w:val="24"/>
          <w:szCs w:val="24"/>
          <w:highlight w:val="none"/>
          <w:lang w:eastAsia="zh-CN"/>
        </w:rPr>
        <w:t>（</w:t>
      </w:r>
      <w:r>
        <w:rPr>
          <w:rFonts w:ascii="宋体" w:hAnsi="宋体" w:eastAsia="宋体" w:cs="宋体"/>
          <w:b/>
          <w:bCs w:val="0"/>
          <w:sz w:val="24"/>
          <w:szCs w:val="24"/>
          <w:highlight w:val="none"/>
        </w:rPr>
        <w:t>投标时须提供国家认可第三方检测机构出具有效的带有CMA标识检测报告复印件佐证</w:t>
      </w:r>
      <w:r>
        <w:rPr>
          <w:rFonts w:hint="eastAsia" w:ascii="宋体" w:hAnsi="宋体" w:eastAsia="宋体" w:cs="宋体"/>
          <w:b/>
          <w:bCs w:val="0"/>
          <w:sz w:val="24"/>
          <w:szCs w:val="24"/>
          <w:highlight w:val="none"/>
          <w:lang w:eastAsia="zh-CN"/>
        </w:rPr>
        <w:t>）</w:t>
      </w:r>
    </w:p>
    <w:p w14:paraId="1C7A9BF4">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评审指标50</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2.防护等级要求</w:t>
      </w:r>
    </w:p>
    <w:p w14:paraId="5569EE0D">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交直流特性测试仪防护等级满足IP55</w:t>
      </w:r>
      <w:r>
        <w:rPr>
          <w:rFonts w:ascii="宋体" w:hAnsi="宋体" w:eastAsia="宋体" w:cs="宋体"/>
          <w:b/>
          <w:bCs/>
          <w:sz w:val="24"/>
          <w:szCs w:val="24"/>
          <w:highlight w:val="none"/>
          <w:lang w:eastAsia="zh-CN"/>
        </w:rPr>
        <w:t>。</w:t>
      </w:r>
      <w:r>
        <w:rPr>
          <w:rFonts w:hint="eastAsia" w:ascii="宋体" w:hAnsi="宋体" w:eastAsia="宋体" w:cs="宋体"/>
          <w:b/>
          <w:bCs w:val="0"/>
          <w:sz w:val="24"/>
          <w:szCs w:val="24"/>
          <w:highlight w:val="none"/>
          <w:lang w:eastAsia="zh-CN"/>
        </w:rPr>
        <w:t>（</w:t>
      </w:r>
      <w:r>
        <w:rPr>
          <w:rFonts w:ascii="宋体" w:hAnsi="宋体" w:eastAsia="宋体" w:cs="宋体"/>
          <w:b/>
          <w:bCs w:val="0"/>
          <w:sz w:val="24"/>
          <w:szCs w:val="24"/>
          <w:highlight w:val="none"/>
        </w:rPr>
        <w:t>投标时须提供国家认可第三方检测机构出具有效的带有CMA标识检测报告复印件佐证</w:t>
      </w:r>
      <w:r>
        <w:rPr>
          <w:rFonts w:hint="eastAsia" w:ascii="宋体" w:hAnsi="宋体" w:eastAsia="宋体" w:cs="宋体"/>
          <w:b/>
          <w:bCs w:val="0"/>
          <w:sz w:val="24"/>
          <w:szCs w:val="24"/>
          <w:highlight w:val="none"/>
          <w:lang w:eastAsia="zh-CN"/>
        </w:rPr>
        <w:t>）</w:t>
      </w:r>
    </w:p>
    <w:p w14:paraId="3BA0960B">
      <w:pPr>
        <w:pStyle w:val="14"/>
        <w:spacing w:line="360" w:lineRule="auto"/>
        <w:jc w:val="both"/>
        <w:outlineLvl w:val="2"/>
        <w:rPr>
          <w:rFonts w:hint="default" w:ascii="宋体" w:hAnsi="宋体" w:eastAsia="宋体" w:cs="宋体"/>
          <w:b/>
          <w:sz w:val="24"/>
          <w:szCs w:val="24"/>
          <w:lang w:eastAsia="zh-CN"/>
        </w:rPr>
      </w:pPr>
    </w:p>
    <w:p w14:paraId="0F167723">
      <w:pPr>
        <w:pStyle w:val="14"/>
        <w:spacing w:line="360" w:lineRule="auto"/>
        <w:jc w:val="both"/>
        <w:outlineLvl w:val="2"/>
        <w:rPr>
          <w:rFonts w:hint="default" w:ascii="宋体" w:hAnsi="宋体" w:eastAsia="宋体" w:cs="宋体"/>
          <w:b/>
          <w:sz w:val="24"/>
          <w:szCs w:val="24"/>
          <w:lang w:eastAsia="zh-CN"/>
        </w:rPr>
      </w:pPr>
      <w:r>
        <w:rPr>
          <w:rFonts w:ascii="宋体" w:hAnsi="宋体" w:eastAsia="宋体" w:cs="宋体"/>
          <w:b/>
          <w:sz w:val="24"/>
          <w:szCs w:val="24"/>
          <w:lang w:eastAsia="zh-CN"/>
        </w:rPr>
        <w:t>采购包3、</w:t>
      </w:r>
      <w:r>
        <w:rPr>
          <w:rFonts w:ascii="宋体" w:hAnsi="宋体" w:eastAsia="宋体" w:cs="宋体"/>
          <w:b/>
          <w:sz w:val="24"/>
          <w:szCs w:val="24"/>
        </w:rPr>
        <w:t>充电桩能量回馈大功率双向电源</w:t>
      </w:r>
      <w:r>
        <w:rPr>
          <w:rFonts w:ascii="宋体" w:hAnsi="宋体" w:eastAsia="宋体" w:cs="宋体"/>
          <w:b/>
          <w:sz w:val="24"/>
          <w:szCs w:val="24"/>
          <w:lang w:eastAsia="zh-CN"/>
        </w:rPr>
        <w:t>：</w:t>
      </w:r>
    </w:p>
    <w:p w14:paraId="7B50C4E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★1.整体描述：系统由≤10台双向电源模块组成，要求既可以作为电源使用，也可以作为负载使用。</w:t>
      </w:r>
    </w:p>
    <w:p w14:paraId="094155F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▲2.工作模式：具有串联、并联和双通道三种模式。</w:t>
      </w:r>
    </w:p>
    <w:p w14:paraId="1DB19F0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★3.要求双通道模式下每通道电压≥1200V，电流≥±500功率≥±210kW，每通道独立设置参数，可以通道1运行在电源状态通道2运行在负载状态，可同时对两个被测物进行测试。</w:t>
      </w:r>
    </w:p>
    <w:p w14:paraId="75ABCFB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★4.面板具有独立的负载控制界面，提供至少CR、CC和CW三种模式带载测试。</w:t>
      </w:r>
    </w:p>
    <w:p w14:paraId="687836F8">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w:t>
      </w:r>
      <w:r>
        <w:rPr>
          <w:rFonts w:hint="eastAsia" w:ascii="宋体" w:hAnsi="宋体" w:cs="宋体"/>
          <w:b/>
          <w:bCs/>
          <w:color w:val="auto"/>
          <w:sz w:val="24"/>
          <w:szCs w:val="24"/>
          <w:lang w:eastAsia="zh-CN"/>
        </w:rPr>
        <w:t>）</w:t>
      </w:r>
      <w:r>
        <w:rPr>
          <w:rFonts w:ascii="宋体" w:hAnsi="宋体" w:eastAsia="宋体" w:cs="宋体"/>
          <w:bCs/>
          <w:sz w:val="24"/>
          <w:szCs w:val="24"/>
          <w:lang w:eastAsia="zh-CN"/>
        </w:rPr>
        <w:t>5.整机功率范围：优于或等于-420kW～ 420kW</w:t>
      </w:r>
    </w:p>
    <w:p w14:paraId="0D8A412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w:t>
      </w:r>
      <w:r>
        <w:rPr>
          <w:rFonts w:hint="eastAsia" w:ascii="宋体" w:hAnsi="宋体" w:cs="宋体"/>
          <w:b/>
          <w:bCs/>
          <w:color w:val="auto"/>
          <w:sz w:val="24"/>
          <w:szCs w:val="24"/>
          <w:lang w:eastAsia="zh-CN"/>
        </w:rPr>
        <w:t>）</w:t>
      </w:r>
      <w:r>
        <w:rPr>
          <w:rFonts w:ascii="宋体" w:hAnsi="宋体" w:eastAsia="宋体" w:cs="宋体"/>
          <w:bCs/>
          <w:sz w:val="24"/>
          <w:szCs w:val="24"/>
          <w:lang w:eastAsia="zh-CN"/>
        </w:rPr>
        <w:t>6.电压范围：优于或等于0～2250V</w:t>
      </w:r>
    </w:p>
    <w:p w14:paraId="6F961CB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★7.最大电流范围：优于或等于-1000A～1000A</w:t>
      </w:r>
    </w:p>
    <w:p w14:paraId="4A8BA860">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w:t>
      </w:r>
      <w:r>
        <w:rPr>
          <w:rFonts w:hint="eastAsia" w:ascii="宋体" w:hAnsi="宋体" w:cs="宋体"/>
          <w:b/>
          <w:bCs/>
          <w:color w:val="auto"/>
          <w:sz w:val="24"/>
          <w:szCs w:val="24"/>
          <w:lang w:eastAsia="zh-CN"/>
        </w:rPr>
        <w:t>）</w:t>
      </w:r>
      <w:r>
        <w:rPr>
          <w:rFonts w:ascii="宋体" w:hAnsi="宋体" w:eastAsia="宋体" w:cs="宋体"/>
          <w:bCs/>
          <w:sz w:val="24"/>
          <w:szCs w:val="24"/>
          <w:lang w:eastAsia="zh-CN"/>
        </w:rPr>
        <w:t>8.恒压串联内阻可调范围：0～0.45Ω</w:t>
      </w:r>
    </w:p>
    <w:p w14:paraId="79BE50F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w:t>
      </w:r>
      <w:r>
        <w:rPr>
          <w:rFonts w:hint="eastAsia" w:ascii="宋体" w:hAnsi="宋体" w:cs="宋体"/>
          <w:b/>
          <w:bCs/>
          <w:color w:val="auto"/>
          <w:sz w:val="24"/>
          <w:szCs w:val="24"/>
          <w:lang w:eastAsia="zh-CN"/>
        </w:rPr>
        <w:t>）</w:t>
      </w:r>
      <w:r>
        <w:rPr>
          <w:rFonts w:ascii="宋体" w:hAnsi="宋体" w:eastAsia="宋体" w:cs="宋体"/>
          <w:bCs/>
          <w:sz w:val="24"/>
          <w:szCs w:val="24"/>
          <w:lang w:eastAsia="zh-CN"/>
        </w:rPr>
        <w:t>9.恒流负载电阻可调范围：0.005～7500Ω</w:t>
      </w:r>
    </w:p>
    <w:p w14:paraId="6C08158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★10.系统稳定性要求：</w:t>
      </w:r>
    </w:p>
    <w:p w14:paraId="1FCC17C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电源调整率：电压 ≤0.01%FS，电流 ≤0.01%FS</w:t>
      </w:r>
    </w:p>
    <w:p w14:paraId="3F86229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负载调整率：电压 ≤0.01%FS，电流 ≤0.02%FS</w:t>
      </w:r>
    </w:p>
    <w:p w14:paraId="62DB631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w:t>
      </w:r>
      <w:r>
        <w:rPr>
          <w:rFonts w:hint="eastAsia" w:ascii="宋体" w:hAnsi="宋体" w:cs="宋体"/>
          <w:b/>
          <w:bCs/>
          <w:color w:val="auto"/>
          <w:sz w:val="24"/>
          <w:szCs w:val="24"/>
          <w:lang w:eastAsia="zh-CN"/>
        </w:rPr>
        <w:t>）</w:t>
      </w:r>
      <w:r>
        <w:rPr>
          <w:rFonts w:ascii="宋体" w:hAnsi="宋体" w:eastAsia="宋体" w:cs="宋体"/>
          <w:bCs/>
          <w:sz w:val="24"/>
          <w:szCs w:val="24"/>
          <w:lang w:eastAsia="zh-CN"/>
        </w:rPr>
        <w:t>11.设定精度：</w:t>
      </w:r>
    </w:p>
    <w:p w14:paraId="1654DEE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电压精度：≤0.02%+0.02%FS</w:t>
      </w:r>
    </w:p>
    <w:p w14:paraId="5E6B49F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电流精度：≤0.03% + 0.03%FS</w:t>
      </w:r>
    </w:p>
    <w:p w14:paraId="24C980A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功率精度：≤0.05% + 0.15%FS</w:t>
      </w:r>
    </w:p>
    <w:p w14:paraId="7CB47F0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▲12.回读精度</w:t>
      </w:r>
    </w:p>
    <w:p w14:paraId="3BEA82A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电压精度：≤0.02%+0.02%FS</w:t>
      </w:r>
    </w:p>
    <w:p w14:paraId="657DBD5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电流回精度：≤0.03% + 0.03%FS</w:t>
      </w:r>
    </w:p>
    <w:p w14:paraId="2FDB988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功率回精度：≤0.05% + 0.15%FS</w:t>
      </w:r>
    </w:p>
    <w:p w14:paraId="3D5F517F">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w:t>
      </w:r>
      <w:r>
        <w:rPr>
          <w:rFonts w:hint="eastAsia" w:ascii="宋体" w:hAnsi="宋体" w:cs="宋体"/>
          <w:b/>
          <w:bCs/>
          <w:color w:val="auto"/>
          <w:sz w:val="24"/>
          <w:szCs w:val="24"/>
          <w:lang w:eastAsia="zh-CN"/>
        </w:rPr>
        <w:t>）</w:t>
      </w:r>
      <w:r>
        <w:rPr>
          <w:rFonts w:ascii="宋体" w:hAnsi="宋体" w:eastAsia="宋体" w:cs="宋体"/>
          <w:bCs/>
          <w:sz w:val="24"/>
          <w:szCs w:val="24"/>
          <w:lang w:eastAsia="zh-CN"/>
        </w:rPr>
        <w:t>13.分辨率：电压1mV，电流10mA，功率：1W电阻，0.001Ω</w:t>
      </w:r>
    </w:p>
    <w:p w14:paraId="14EC5D8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▲14.纹波：</w:t>
      </w:r>
    </w:p>
    <w:p w14:paraId="5A94413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电压峰峰值（20Hz-20MHz）≤0.19%FS</w:t>
      </w:r>
    </w:p>
    <w:p w14:paraId="69A0886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电压有效值（20Hz-20MHz）≤0.038%FS</w:t>
      </w:r>
    </w:p>
    <w:p w14:paraId="03D9A1E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电流有效值（20Hz-300KHz）≤0.19%FS</w:t>
      </w:r>
    </w:p>
    <w:p w14:paraId="5B6313E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电流峰峰值（20Hz-300KHz）≤1.2%FS</w:t>
      </w:r>
    </w:p>
    <w:p w14:paraId="55BC2D9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★15.电压上升和下降时间：系统整体空载和满载状态均≤2ms</w:t>
      </w:r>
    </w:p>
    <w:p w14:paraId="74A2220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w:t>
      </w:r>
      <w:r>
        <w:rPr>
          <w:rFonts w:hint="eastAsia" w:ascii="宋体" w:hAnsi="宋体" w:cs="宋体"/>
          <w:b/>
          <w:bCs/>
          <w:color w:val="auto"/>
          <w:sz w:val="24"/>
          <w:szCs w:val="24"/>
          <w:lang w:eastAsia="zh-CN"/>
        </w:rPr>
        <w:t>）</w:t>
      </w:r>
      <w:r>
        <w:rPr>
          <w:rFonts w:ascii="宋体" w:hAnsi="宋体" w:eastAsia="宋体" w:cs="宋体"/>
          <w:bCs/>
          <w:sz w:val="24"/>
          <w:szCs w:val="24"/>
          <w:lang w:eastAsia="zh-CN"/>
        </w:rPr>
        <w:t>16.电流上升和下降时间：系统整体满电流状态下≤2ms</w:t>
      </w:r>
    </w:p>
    <w:p w14:paraId="05131FB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★17.动态响应时间：系统整体≤1ms</w:t>
      </w:r>
    </w:p>
    <w:p w14:paraId="562293BB">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w:t>
      </w:r>
      <w:r>
        <w:rPr>
          <w:rFonts w:hint="eastAsia" w:ascii="宋体" w:hAnsi="宋体" w:cs="宋体"/>
          <w:b/>
          <w:bCs/>
          <w:color w:val="auto"/>
          <w:sz w:val="24"/>
          <w:szCs w:val="24"/>
          <w:lang w:eastAsia="zh-CN"/>
        </w:rPr>
        <w:t>）</w:t>
      </w:r>
      <w:r>
        <w:rPr>
          <w:rFonts w:ascii="宋体" w:hAnsi="宋体" w:eastAsia="宋体" w:cs="宋体"/>
          <w:bCs/>
          <w:sz w:val="24"/>
          <w:szCs w:val="24"/>
          <w:lang w:eastAsia="zh-CN"/>
        </w:rPr>
        <w:t>18.系统在负载状态可以进行能量回馈，具有独立的节能统计界面</w:t>
      </w:r>
    </w:p>
    <w:p w14:paraId="5E9C5E2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★19.系统内置LV123、LV148、ISO21498-2汽车波形，IEC 61000-4-17/IEC 61000-4-29 测试法规波形</w:t>
      </w:r>
    </w:p>
    <w:p w14:paraId="0B6D140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w:t>
      </w:r>
      <w:r>
        <w:rPr>
          <w:rFonts w:hint="eastAsia" w:ascii="宋体" w:hAnsi="宋体" w:cs="宋体"/>
          <w:b/>
          <w:bCs/>
          <w:color w:val="auto"/>
          <w:sz w:val="24"/>
          <w:szCs w:val="24"/>
          <w:lang w:eastAsia="zh-CN"/>
        </w:rPr>
        <w:t>）</w:t>
      </w:r>
      <w:r>
        <w:rPr>
          <w:rFonts w:ascii="宋体" w:hAnsi="宋体" w:eastAsia="宋体" w:cs="宋体"/>
          <w:bCs/>
          <w:sz w:val="24"/>
          <w:szCs w:val="24"/>
          <w:lang w:eastAsia="zh-CN"/>
        </w:rPr>
        <w:t>20.系统主机内置太阳能光伏曲线模拟测试界面，无需上位机软件既可进行光伏阵列/模块/电池的最大功率点追踪测试。</w:t>
      </w:r>
    </w:p>
    <w:p w14:paraId="44E0925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★21.具有内置图形化的界面，可以观测各模块或者机柜运行情况，使用过程中某个模块故障可使故障模块自动退出测试，并在总容量范围内进行调配，保证系统整体平滑运行。</w:t>
      </w:r>
    </w:p>
    <w:p w14:paraId="7734ED1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★22.支持VNC传屏功能，允许远程访问系统主机触摸屏，可以在上位机1:1控制系统</w:t>
      </w:r>
    </w:p>
    <w:p w14:paraId="38157043">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w:t>
      </w:r>
      <w:r>
        <w:rPr>
          <w:rFonts w:hint="eastAsia" w:ascii="宋体" w:hAnsi="宋体" w:cs="宋体"/>
          <w:b/>
          <w:bCs/>
          <w:color w:val="auto"/>
          <w:sz w:val="24"/>
          <w:szCs w:val="24"/>
          <w:lang w:eastAsia="zh-CN"/>
        </w:rPr>
        <w:t>）</w:t>
      </w:r>
      <w:r>
        <w:rPr>
          <w:rFonts w:ascii="宋体" w:hAnsi="宋体" w:eastAsia="宋体" w:cs="宋体"/>
          <w:bCs/>
          <w:sz w:val="24"/>
          <w:szCs w:val="24"/>
          <w:lang w:eastAsia="zh-CN"/>
        </w:rPr>
        <w:t>23.保护功能：OVP、 OCP、 OPP、 UVP、 UCP、 OTP、 Vsense保护</w:t>
      </w:r>
    </w:p>
    <w:p w14:paraId="7181909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▲24.编程响应时间：≤1ms</w:t>
      </w:r>
    </w:p>
    <w:p w14:paraId="35E6F3E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w:t>
      </w:r>
      <w:r>
        <w:rPr>
          <w:rFonts w:hint="eastAsia" w:ascii="宋体" w:hAnsi="宋体" w:cs="宋体"/>
          <w:b/>
          <w:bCs/>
          <w:color w:val="auto"/>
          <w:sz w:val="24"/>
          <w:szCs w:val="24"/>
          <w:lang w:eastAsia="zh-CN"/>
        </w:rPr>
        <w:t>）</w:t>
      </w:r>
      <w:r>
        <w:rPr>
          <w:rFonts w:ascii="宋体" w:hAnsi="宋体" w:eastAsia="宋体" w:cs="宋体"/>
          <w:bCs/>
          <w:sz w:val="24"/>
          <w:szCs w:val="24"/>
          <w:lang w:eastAsia="zh-CN"/>
        </w:rPr>
        <w:t>25.标配通讯接口：USB、CAN、数字IO、EtherCAT、LAN(支持Modbus-TCP/Profinet)</w:t>
      </w:r>
    </w:p>
    <w:p w14:paraId="25B5E630">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w:t>
      </w:r>
      <w:r>
        <w:rPr>
          <w:rFonts w:hint="eastAsia" w:ascii="宋体" w:hAnsi="宋体" w:cs="宋体"/>
          <w:b/>
          <w:bCs/>
          <w:color w:val="auto"/>
          <w:sz w:val="24"/>
          <w:szCs w:val="24"/>
          <w:lang w:eastAsia="zh-CN"/>
        </w:rPr>
        <w:t>）</w:t>
      </w:r>
      <w:r>
        <w:rPr>
          <w:rFonts w:ascii="宋体" w:hAnsi="宋体" w:eastAsia="宋体" w:cs="宋体"/>
          <w:bCs/>
          <w:sz w:val="24"/>
          <w:szCs w:val="24"/>
          <w:lang w:eastAsia="zh-CN"/>
        </w:rPr>
        <w:t>26.交流输入：采用三相四线制供电，电压范围优于或等于345~525V</w:t>
      </w:r>
    </w:p>
    <w:p w14:paraId="6A82138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▲27.系统整体尺寸重量：≤600.00mm（W） * 1886mm（H） *845mm（D），≤685kg</w:t>
      </w:r>
    </w:p>
    <w:p w14:paraId="412D8130">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w:t>
      </w:r>
      <w:r>
        <w:rPr>
          <w:rFonts w:hint="eastAsia" w:ascii="宋体" w:hAnsi="宋体" w:cs="宋体"/>
          <w:b/>
          <w:bCs/>
          <w:color w:val="auto"/>
          <w:sz w:val="24"/>
          <w:szCs w:val="24"/>
          <w:lang w:eastAsia="zh-CN"/>
        </w:rPr>
        <w:t>）</w:t>
      </w:r>
      <w:r>
        <w:rPr>
          <w:rFonts w:ascii="宋体" w:hAnsi="宋体" w:eastAsia="宋体" w:cs="宋体"/>
          <w:bCs/>
          <w:sz w:val="24"/>
          <w:szCs w:val="24"/>
          <w:lang w:eastAsia="zh-CN"/>
        </w:rPr>
        <w:t>28.标配一套多通道电池模拟器软件，具有以下功能：</w:t>
      </w:r>
    </w:p>
    <w:p w14:paraId="7D7B72A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支持≥20通道电池模拟</w:t>
      </w:r>
    </w:p>
    <w:p w14:paraId="35BE04B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可模拟电池类型：锂电池/铅酸电池/磷酸铁锂/三元锂/锰酸锂/钛酸锂/镍氢/镍钴锰酸锂</w:t>
      </w:r>
    </w:p>
    <w:p w14:paraId="582C2C0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可通过csv文件导入实测的电池充放电数据，通过mat文件导入电池数学模型进行电池特性曲线分析</w:t>
      </w:r>
    </w:p>
    <w:p w14:paraId="09CCD692">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w:t>
      </w:r>
      <w:r>
        <w:rPr>
          <w:rFonts w:hint="eastAsia" w:ascii="宋体" w:hAnsi="宋体" w:cs="宋体"/>
          <w:b/>
          <w:bCs/>
          <w:color w:val="auto"/>
          <w:sz w:val="24"/>
          <w:szCs w:val="24"/>
          <w:lang w:eastAsia="zh-CN"/>
        </w:rPr>
        <w:t>）</w:t>
      </w:r>
      <w:r>
        <w:rPr>
          <w:rFonts w:ascii="宋体" w:hAnsi="宋体" w:eastAsia="宋体" w:cs="宋体"/>
          <w:bCs/>
          <w:sz w:val="24"/>
          <w:szCs w:val="24"/>
          <w:lang w:eastAsia="zh-CN"/>
        </w:rPr>
        <w:t>29.标配一套多通道太阳能电池仿真软件具有以下功能：</w:t>
      </w:r>
    </w:p>
    <w:p w14:paraId="2635F5E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可以进行≥20个通道的MPPT测试</w:t>
      </w:r>
    </w:p>
    <w:p w14:paraId="61B7E92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可仿真电池输出特性种类：单晶硅电池、多晶硅电池、薄膜电池</w:t>
      </w:r>
    </w:p>
    <w:p w14:paraId="05CFEE4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内置法规EN50530、Sandia、NB / T32004、CGC / GF004、CGC / GF035的MPPT测试程序，并生成报表。</w:t>
      </w:r>
    </w:p>
    <w:p w14:paraId="33D1602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具有图形界面，实时测试并显示光伏逆变器的MPPT状态</w:t>
      </w:r>
    </w:p>
    <w:p w14:paraId="6CE1DF3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w:t>
      </w:r>
      <w:r>
        <w:rPr>
          <w:rFonts w:hint="eastAsia" w:ascii="宋体" w:hAnsi="宋体" w:cs="宋体"/>
          <w:b/>
          <w:bCs/>
          <w:color w:val="auto"/>
          <w:sz w:val="24"/>
          <w:szCs w:val="24"/>
          <w:lang w:eastAsia="zh-CN"/>
        </w:rPr>
        <w:t>）</w:t>
      </w:r>
      <w:r>
        <w:rPr>
          <w:rFonts w:ascii="宋体" w:hAnsi="宋体" w:eastAsia="宋体" w:cs="宋体"/>
          <w:bCs/>
          <w:sz w:val="24"/>
          <w:szCs w:val="24"/>
          <w:lang w:eastAsia="zh-CN"/>
        </w:rPr>
        <w:t>30.系统配套高压大电流线缆及其他实现以上功能的必备配件。</w:t>
      </w:r>
    </w:p>
    <w:p w14:paraId="2D7AB0F0">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评审指标16</w:t>
      </w:r>
      <w:r>
        <w:rPr>
          <w:rFonts w:hint="eastAsia" w:ascii="宋体" w:hAnsi="宋体" w:cs="宋体"/>
          <w:b/>
          <w:bCs/>
          <w:color w:val="auto"/>
          <w:sz w:val="24"/>
          <w:szCs w:val="24"/>
          <w:lang w:eastAsia="zh-CN"/>
        </w:rPr>
        <w:t>）</w:t>
      </w:r>
      <w:r>
        <w:rPr>
          <w:rFonts w:ascii="宋体" w:hAnsi="宋体" w:eastAsia="宋体" w:cs="宋体"/>
          <w:bCs/>
          <w:sz w:val="24"/>
          <w:szCs w:val="24"/>
          <w:lang w:eastAsia="zh-CN"/>
        </w:rPr>
        <w:t>31.配套便携式上位机一套：配置应包含或高于以下要求：屏幕尺寸：16寸 、CPU：Ultra5、内存32GB DDR5、存储硬盘：PCIE4.0 SSD 1TB、接口：USB-C、HDMI、SUB-A、RJ-45。</w:t>
      </w:r>
    </w:p>
    <w:p w14:paraId="29707C29">
      <w:pPr>
        <w:pStyle w:val="14"/>
        <w:spacing w:line="360" w:lineRule="auto"/>
        <w:jc w:val="both"/>
        <w:outlineLvl w:val="2"/>
        <w:rPr>
          <w:rFonts w:hint="default" w:ascii="宋体" w:hAnsi="宋体" w:eastAsia="宋体" w:cs="宋体"/>
          <w:b/>
          <w:sz w:val="24"/>
          <w:szCs w:val="24"/>
          <w:lang w:eastAsia="zh-CN"/>
        </w:rPr>
      </w:pPr>
    </w:p>
    <w:p w14:paraId="3D2D9736">
      <w:pPr>
        <w:pStyle w:val="14"/>
        <w:spacing w:line="360" w:lineRule="auto"/>
        <w:jc w:val="both"/>
        <w:outlineLvl w:val="2"/>
        <w:rPr>
          <w:rFonts w:hint="default" w:ascii="宋体" w:hAnsi="宋体" w:eastAsia="宋体" w:cs="宋体"/>
          <w:b/>
          <w:color w:val="auto"/>
          <w:sz w:val="24"/>
          <w:szCs w:val="24"/>
          <w:lang w:eastAsia="zh-CN"/>
        </w:rPr>
      </w:pPr>
      <w:r>
        <w:rPr>
          <w:rFonts w:ascii="宋体" w:hAnsi="宋体" w:eastAsia="宋体" w:cs="宋体"/>
          <w:b/>
          <w:color w:val="auto"/>
          <w:sz w:val="24"/>
          <w:szCs w:val="24"/>
          <w:lang w:eastAsia="zh-CN"/>
        </w:rPr>
        <w:t>采购包4-1、</w:t>
      </w:r>
      <w:r>
        <w:rPr>
          <w:rFonts w:ascii="宋体" w:hAnsi="宋体" w:eastAsia="宋体" w:cs="宋体"/>
          <w:b/>
          <w:color w:val="auto"/>
          <w:sz w:val="24"/>
          <w:szCs w:val="24"/>
        </w:rPr>
        <w:t>三相谐波闪烁测试系统</w:t>
      </w:r>
      <w:r>
        <w:rPr>
          <w:rFonts w:ascii="宋体" w:hAnsi="宋体" w:eastAsia="宋体" w:cs="宋体"/>
          <w:b/>
          <w:color w:val="auto"/>
          <w:sz w:val="24"/>
          <w:szCs w:val="24"/>
          <w:lang w:eastAsia="zh-CN"/>
        </w:rPr>
        <w:t>：</w:t>
      </w:r>
    </w:p>
    <w:p w14:paraId="46C04BF4">
      <w:pPr>
        <w:pStyle w:val="14"/>
        <w:spacing w:line="360" w:lineRule="auto"/>
        <w:jc w:val="both"/>
        <w:outlineLvl w:val="2"/>
        <w:rPr>
          <w:rFonts w:hint="default" w:ascii="宋体" w:hAnsi="宋体" w:eastAsia="宋体" w:cs="宋体"/>
          <w:bCs/>
          <w:color w:val="auto"/>
          <w:sz w:val="24"/>
          <w:szCs w:val="24"/>
          <w:highlight w:val="none"/>
          <w:lang w:eastAsia="zh-CN"/>
        </w:rPr>
      </w:pPr>
      <w:r>
        <w:rPr>
          <w:rFonts w:hint="default" w:ascii="Segoe UI Symbol" w:hAnsi="Segoe UI Symbol" w:cs="Segoe UI Symbol"/>
          <w:color w:val="auto"/>
          <w:sz w:val="28"/>
          <w:szCs w:val="28"/>
          <w:highlight w:val="none"/>
          <w:lang w:eastAsia="zh-CN"/>
        </w:rPr>
        <w:t>★</w:t>
      </w:r>
      <w:r>
        <w:rPr>
          <w:rFonts w:ascii="宋体" w:hAnsi="宋体" w:eastAsia="宋体" w:cs="宋体"/>
          <w:bCs/>
          <w:color w:val="auto"/>
          <w:sz w:val="24"/>
          <w:szCs w:val="24"/>
          <w:highlight w:val="none"/>
          <w:lang w:eastAsia="zh-CN"/>
        </w:rPr>
        <w:t>1.系统功能：</w:t>
      </w:r>
    </w:p>
    <w:p w14:paraId="5F4D5C1B">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系统功能介绍：该系统主要用于单相和三相样品谐波和闪烁测试，电流最高可达75A每相，且具备单相小电流测量接口，最小测量范围：5-500mA；搭配电压跌落模拟器，可实现三角形和星形供电被试品电压跌落、暂降测试；在该系统基础上，可升级汽车电子ISO 21498、VW80300、LV 123、ISO 7637-4等标准测试，也可升级军标、航空、低空经济（MIL-STD-704、Airbus ABD0100、DO-160等）等标准的电源性能的测试；</w:t>
      </w:r>
    </w:p>
    <w:p w14:paraId="41B15298">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 xml:space="preserve">1.2设备及附件应完全满足最新标准: </w:t>
      </w:r>
    </w:p>
    <w:p w14:paraId="3D2CC773">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IEC61000-3-2;IEC61000-3-3;IEC61000-3-11，IEC61000-3-12; IEC 60725;JIS C 61000-3-2;IEC 61000-4-13; IEC 61000-4-14; IEC 61000-4-28; IEC 61000-4-29; IEC 61000-4-11和IEC 61000-4-34标准要求，可扩展ISO 21498, LV 123、ISO 7637-4等汽车电子测试标准；</w:t>
      </w:r>
    </w:p>
    <w:p w14:paraId="6110FDA7">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2.三相谐波闪烁分析仪：</w:t>
      </w:r>
    </w:p>
    <w:p w14:paraId="6F22F1E0">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 独立式分析仪（包含嵌入式处理器Pentium 200 MHz、信号处理器、存储器），具有真正实时多任务系统结构，具备较大数据存储空间（内部硬盘，约1 MB/min数据，记录时间超过30小时），实时采集分析数据，避免测量数据丢失。</w:t>
      </w:r>
    </w:p>
    <w:p w14:paraId="3117A116">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▲2.2 电压输入:不小于10V-530Vrms/4.0KVpeak</w:t>
      </w:r>
    </w:p>
    <w:p w14:paraId="34CECE41">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★2.3 电流输入:最大75A，包含超低电流测试选件，电流测量范围：5-500mA，系统机柜前面板上带有跳线的附加低电流钳5A/1V；</w:t>
      </w:r>
    </w:p>
    <w:p w14:paraId="0480D671">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2.4 测量频率范围:15-3000Hz</w:t>
      </w:r>
    </w:p>
    <w:p w14:paraId="1AE6583D">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2.5 谐波电压精度：须满足IEC61000-4-7标准中I类设备精度要求；</w:t>
      </w:r>
    </w:p>
    <w:p w14:paraId="3F2DA2BD">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2.6 谐波电流精度：须满足IEC61000-4-7标准中I类设备精度要求；</w:t>
      </w:r>
    </w:p>
    <w:p w14:paraId="519A8A5D">
      <w:pPr>
        <w:pStyle w:val="14"/>
        <w:spacing w:line="360" w:lineRule="auto"/>
        <w:jc w:val="both"/>
        <w:outlineLvl w:val="2"/>
        <w:rPr>
          <w:rFonts w:hint="default" w:ascii="宋体" w:hAnsi="宋体" w:eastAsia="宋体" w:cs="宋体"/>
          <w:bCs/>
          <w:color w:val="auto"/>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w:t>
      </w:r>
      <w:r>
        <w:rPr>
          <w:rFonts w:hint="eastAsia" w:ascii="宋体" w:hAnsi="宋体" w:cs="宋体"/>
          <w:b/>
          <w:bCs/>
          <w:color w:val="auto"/>
          <w:sz w:val="24"/>
          <w:szCs w:val="24"/>
          <w:lang w:eastAsia="zh-CN"/>
        </w:rPr>
        <w:t>）</w:t>
      </w:r>
      <w:r>
        <w:rPr>
          <w:rFonts w:ascii="宋体" w:hAnsi="宋体" w:eastAsia="宋体" w:cs="宋体"/>
          <w:bCs/>
          <w:color w:val="auto"/>
          <w:sz w:val="24"/>
          <w:szCs w:val="24"/>
          <w:highlight w:val="none"/>
          <w:lang w:eastAsia="zh-CN"/>
        </w:rPr>
        <w:t>2.7 A/D转换器:不低于16位</w:t>
      </w:r>
    </w:p>
    <w:p w14:paraId="300A78F1">
      <w:pPr>
        <w:pStyle w:val="14"/>
        <w:spacing w:line="360" w:lineRule="auto"/>
        <w:jc w:val="both"/>
        <w:outlineLvl w:val="2"/>
        <w:rPr>
          <w:rFonts w:hint="default" w:ascii="宋体" w:hAnsi="宋体" w:eastAsia="宋体" w:cs="宋体"/>
          <w:bCs/>
          <w:color w:val="auto"/>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w:t>
      </w:r>
      <w:r>
        <w:rPr>
          <w:rFonts w:hint="eastAsia" w:ascii="宋体" w:hAnsi="宋体" w:cs="宋体"/>
          <w:b/>
          <w:bCs/>
          <w:color w:val="auto"/>
          <w:sz w:val="24"/>
          <w:szCs w:val="24"/>
          <w:lang w:eastAsia="zh-CN"/>
        </w:rPr>
        <w:t>）</w:t>
      </w:r>
      <w:r>
        <w:rPr>
          <w:rFonts w:ascii="宋体" w:hAnsi="宋体" w:eastAsia="宋体" w:cs="宋体"/>
          <w:bCs/>
          <w:color w:val="auto"/>
          <w:sz w:val="24"/>
          <w:szCs w:val="24"/>
          <w:highlight w:val="none"/>
          <w:lang w:eastAsia="zh-CN"/>
        </w:rPr>
        <w:t>2.8 谐波范围:不小于1-50次谐波</w:t>
      </w:r>
    </w:p>
    <w:p w14:paraId="6B3070AF">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2.9 同步:锁相环PLL</w:t>
      </w:r>
    </w:p>
    <w:p w14:paraId="081AB344">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▲2.10 测量窗口:矩形窗口(8、10、12、16周期)</w:t>
      </w:r>
    </w:p>
    <w:p w14:paraId="6536C8BF">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2.11 可以进行新版标准规定的谐间波组测试</w:t>
      </w:r>
    </w:p>
    <w:p w14:paraId="5F7BDFB3">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▲2.12 抗干扰滤波器:&gt;90dB</w:t>
      </w:r>
    </w:p>
    <w:p w14:paraId="1B068C29">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2.13 Pst,Plt精度：≤5%</w:t>
      </w:r>
    </w:p>
    <w:p w14:paraId="21624B24">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▲2.14 可以显示并打印每一数据组的时域波形，频域波形和数据报告。</w:t>
      </w:r>
    </w:p>
    <w:p w14:paraId="15181E8D">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▲2.15 软件提供选项可根据需要选择各种基本标准和产品标准做测量。</w:t>
      </w:r>
    </w:p>
    <w:p w14:paraId="60DC0A4C">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2.16 每个测试数据提供详细的报告：P50%S,P10%S,P3%S,P1%S,P0.1%,Pst,</w:t>
      </w:r>
    </w:p>
    <w:p w14:paraId="11739E1C">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dc,dmax,dt，产生的报告可转换成WORD格式并且可以用其它文件处理软件打开。</w:t>
      </w:r>
    </w:p>
    <w:p w14:paraId="5C841D6F">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▲2.17实时监测Pst,dc,dmax,dt最大值，显示每个测量参数的结果（Pass/Fail）</w:t>
      </w:r>
    </w:p>
    <w:p w14:paraId="57727701">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3.三相多功能交直流电压源：</w:t>
      </w:r>
    </w:p>
    <w:p w14:paraId="345ECD61">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3.1 独立式的电源，内置信号波形发生器。</w:t>
      </w:r>
    </w:p>
    <w:p w14:paraId="1E17A152">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3.2 支持并行模式。</w:t>
      </w:r>
    </w:p>
    <w:p w14:paraId="79A25760">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3.3 输出：67 kVA 交流 /72kW 直流。</w:t>
      </w:r>
    </w:p>
    <w:p w14:paraId="4722CDDF">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3.4 满足IEC 61000-4-13, -4-14, -4-28, -4-29标准要求，可扩展ISO 21498, LV 123、ISO 7637-4等标准的高压组件测试。</w:t>
      </w:r>
    </w:p>
    <w:p w14:paraId="0B47866B">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★3.5 输出电压: 400 V AC (L-N)； 690 V AC (L-L)；最高±1120 V DC。</w:t>
      </w:r>
    </w:p>
    <w:p w14:paraId="60E30A06">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★3.6 输出电流：连续 75A (均方根值), 短时(最大3s)100A (均方根值), 可重复峰值 400A；并行模式下：最大225A连续；</w:t>
      </w:r>
    </w:p>
    <w:p w14:paraId="57E8474B">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▲3.7 带宽：≥5kHz。</w:t>
      </w:r>
    </w:p>
    <w:p w14:paraId="5D8A21EA">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▲3.8 频率精度、稳定度：100ppm。</w:t>
      </w:r>
    </w:p>
    <w:p w14:paraId="6CC414CD">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3.9 输出连接器：安全实验室连接器。</w:t>
      </w:r>
    </w:p>
    <w:p w14:paraId="0AF4828B">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3.10 相位精度：分辨率 1°。</w:t>
      </w:r>
    </w:p>
    <w:p w14:paraId="5479A0A4">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评审指标16</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3.11 输出噪声： &lt; 50 V ：110 mV；</w:t>
      </w:r>
    </w:p>
    <w:p w14:paraId="0290BA8E">
      <w:pPr>
        <w:pStyle w:val="14"/>
        <w:spacing w:line="360" w:lineRule="auto"/>
        <w:ind w:firstLine="3360" w:firstLineChars="1400"/>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&gt; 50 V ：＜200 mV rms+设置值的0.02%。</w:t>
      </w:r>
    </w:p>
    <w:p w14:paraId="30BECB3B">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▲3.12 转换速率：≥8V/us。</w:t>
      </w:r>
    </w:p>
    <w:p w14:paraId="3C7ADED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▲3.13 具备功率恢复功能，可抵抗反冲能量，保护设备</w:t>
      </w:r>
    </w:p>
    <w:p w14:paraId="0C7465F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评审指标17</w:t>
      </w:r>
      <w:r>
        <w:rPr>
          <w:rFonts w:hint="eastAsia" w:ascii="宋体" w:hAnsi="宋体" w:cs="宋体"/>
          <w:b/>
          <w:bCs/>
          <w:color w:val="auto"/>
          <w:sz w:val="24"/>
          <w:szCs w:val="24"/>
          <w:lang w:eastAsia="zh-CN"/>
        </w:rPr>
        <w:t>）</w:t>
      </w:r>
      <w:r>
        <w:rPr>
          <w:rFonts w:ascii="宋体" w:hAnsi="宋体" w:eastAsia="宋体" w:cs="宋体"/>
          <w:bCs/>
          <w:sz w:val="24"/>
          <w:szCs w:val="24"/>
          <w:lang w:eastAsia="zh-CN"/>
        </w:rPr>
        <w:t>3.14 电压监测：内部或外部监测，4线。</w:t>
      </w:r>
    </w:p>
    <w:p w14:paraId="4052C6A5">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评审指标18</w:t>
      </w:r>
      <w:r>
        <w:rPr>
          <w:rFonts w:hint="eastAsia" w:ascii="宋体" w:hAnsi="宋体" w:cs="宋体"/>
          <w:b/>
          <w:bCs/>
          <w:color w:val="auto"/>
          <w:sz w:val="24"/>
          <w:szCs w:val="24"/>
          <w:lang w:eastAsia="zh-CN"/>
        </w:rPr>
        <w:t>）</w:t>
      </w:r>
      <w:r>
        <w:rPr>
          <w:rFonts w:ascii="宋体" w:hAnsi="宋体" w:eastAsia="宋体" w:cs="宋体"/>
          <w:bCs/>
          <w:sz w:val="24"/>
          <w:szCs w:val="24"/>
          <w:lang w:eastAsia="zh-CN"/>
        </w:rPr>
        <w:t>3.15 失真率 (THD)：最大0.5%，@ 50 / 60 Hz。</w:t>
      </w:r>
    </w:p>
    <w:p w14:paraId="7F85C11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▲3.16 输出电压精度：DC:±0.2%设定值±0.15%满量程，AC：增加设定频率的+-0.1%/1000。</w:t>
      </w:r>
    </w:p>
    <w:p w14:paraId="6919FED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评审指标19</w:t>
      </w:r>
      <w:r>
        <w:rPr>
          <w:rFonts w:hint="eastAsia" w:ascii="宋体" w:hAnsi="宋体" w:cs="宋体"/>
          <w:b/>
          <w:bCs/>
          <w:color w:val="auto"/>
          <w:sz w:val="24"/>
          <w:szCs w:val="24"/>
          <w:lang w:eastAsia="zh-CN"/>
        </w:rPr>
        <w:t>）</w:t>
      </w:r>
      <w:r>
        <w:rPr>
          <w:rFonts w:ascii="宋体" w:hAnsi="宋体" w:eastAsia="宋体" w:cs="宋体"/>
          <w:bCs/>
          <w:sz w:val="24"/>
          <w:szCs w:val="24"/>
          <w:lang w:eastAsia="zh-CN"/>
        </w:rPr>
        <w:t>3.17 保护：过流、过热、过压、欠压。</w:t>
      </w:r>
    </w:p>
    <w:p w14:paraId="359AE69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评审指标20</w:t>
      </w:r>
      <w:r>
        <w:rPr>
          <w:rFonts w:hint="eastAsia" w:ascii="宋体" w:hAnsi="宋体" w:cs="宋体"/>
          <w:b/>
          <w:bCs/>
          <w:color w:val="auto"/>
          <w:sz w:val="24"/>
          <w:szCs w:val="24"/>
          <w:lang w:eastAsia="zh-CN"/>
        </w:rPr>
        <w:t>）</w:t>
      </w:r>
      <w:r>
        <w:rPr>
          <w:rFonts w:ascii="宋体" w:hAnsi="宋体" w:eastAsia="宋体" w:cs="宋体"/>
          <w:bCs/>
          <w:sz w:val="24"/>
          <w:szCs w:val="24"/>
          <w:lang w:eastAsia="zh-CN"/>
        </w:rPr>
        <w:t>3.18 设备具备紧急停止开关，紧急情况可一键断电；</w:t>
      </w:r>
    </w:p>
    <w:p w14:paraId="26C95F7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评审指标21</w:t>
      </w:r>
      <w:r>
        <w:rPr>
          <w:rFonts w:hint="eastAsia" w:ascii="宋体" w:hAnsi="宋体" w:cs="宋体"/>
          <w:b/>
          <w:bCs/>
          <w:color w:val="auto"/>
          <w:sz w:val="24"/>
          <w:szCs w:val="24"/>
          <w:lang w:eastAsia="zh-CN"/>
        </w:rPr>
        <w:t>）</w:t>
      </w:r>
      <w:r>
        <w:rPr>
          <w:rFonts w:ascii="宋体" w:hAnsi="宋体" w:eastAsia="宋体" w:cs="宋体"/>
          <w:bCs/>
          <w:sz w:val="24"/>
          <w:szCs w:val="24"/>
          <w:lang w:eastAsia="zh-CN"/>
        </w:rPr>
        <w:t>3.19 设备具备互锁功能，防止误操作；</w:t>
      </w:r>
    </w:p>
    <w:p w14:paraId="28E1B68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评审指标22</w:t>
      </w:r>
      <w:r>
        <w:rPr>
          <w:rFonts w:hint="eastAsia" w:ascii="宋体" w:hAnsi="宋体" w:cs="宋体"/>
          <w:b/>
          <w:bCs/>
          <w:color w:val="auto"/>
          <w:sz w:val="24"/>
          <w:szCs w:val="24"/>
          <w:lang w:eastAsia="zh-CN"/>
        </w:rPr>
        <w:t>）</w:t>
      </w:r>
      <w:r>
        <w:rPr>
          <w:rFonts w:ascii="宋体" w:hAnsi="宋体" w:eastAsia="宋体" w:cs="宋体"/>
          <w:bCs/>
          <w:sz w:val="24"/>
          <w:szCs w:val="24"/>
          <w:lang w:eastAsia="zh-CN"/>
        </w:rPr>
        <w:t>3.20 设备具备多样性操作模式</w:t>
      </w:r>
    </w:p>
    <w:p w14:paraId="1DE6FC6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交流电源：PLL与其他电压源同步</w:t>
      </w:r>
    </w:p>
    <w:p w14:paraId="7055E38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触发通道：扩展触发功能</w:t>
      </w:r>
    </w:p>
    <w:p w14:paraId="036FECC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分段步骤：在恒定时间窗口内电压和/或频率的斜坡</w:t>
      </w:r>
    </w:p>
    <w:p w14:paraId="40E682C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外部模式：通过外部控制信号控制设备</w:t>
      </w:r>
    </w:p>
    <w:p w14:paraId="0BC754A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简单模式：优化控制，将设备集成到现有的自动化环境中（如Matlab）</w:t>
      </w:r>
    </w:p>
    <w:p w14:paraId="62BBC45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评审指标23</w:t>
      </w:r>
      <w:r>
        <w:rPr>
          <w:rFonts w:hint="eastAsia" w:ascii="宋体" w:hAnsi="宋体" w:cs="宋体"/>
          <w:b/>
          <w:bCs/>
          <w:color w:val="auto"/>
          <w:sz w:val="24"/>
          <w:szCs w:val="24"/>
          <w:lang w:eastAsia="zh-CN"/>
        </w:rPr>
        <w:t>）</w:t>
      </w:r>
      <w:r>
        <w:rPr>
          <w:rFonts w:ascii="宋体" w:hAnsi="宋体" w:eastAsia="宋体" w:cs="宋体"/>
          <w:bCs/>
          <w:sz w:val="24"/>
          <w:szCs w:val="24"/>
          <w:lang w:eastAsia="zh-CN"/>
        </w:rPr>
        <w:t>3.21 设备具备多种通信接口类型：GPIB、以太网、USB、总线；</w:t>
      </w:r>
    </w:p>
    <w:p w14:paraId="1CDE11D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评审指标24</w:t>
      </w:r>
      <w:r>
        <w:rPr>
          <w:rFonts w:hint="eastAsia" w:ascii="宋体" w:hAnsi="宋体" w:cs="宋体"/>
          <w:b/>
          <w:bCs/>
          <w:color w:val="auto"/>
          <w:sz w:val="24"/>
          <w:szCs w:val="24"/>
          <w:lang w:eastAsia="zh-CN"/>
        </w:rPr>
        <w:t>）</w:t>
      </w:r>
      <w:r>
        <w:rPr>
          <w:rFonts w:ascii="宋体" w:hAnsi="宋体" w:eastAsia="宋体" w:cs="宋体"/>
          <w:bCs/>
          <w:sz w:val="24"/>
          <w:szCs w:val="24"/>
          <w:lang w:eastAsia="zh-CN"/>
        </w:rPr>
        <w:t>3.22 内置波形库：</w:t>
      </w:r>
    </w:p>
    <w:p w14:paraId="1B72B7B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DC片段：DC、斜坡、方形、三角形、锯齿形、步进、正弦、正弦扫描、正弦斜坡、阻尼正弦波、正弦波纹、轮廓、方形扫描、噪声、正弦驻留、正弦、谐波、指数</w:t>
      </w:r>
    </w:p>
    <w:p w14:paraId="609C823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AC片段：正弦、调制、正弦扫频、正弦扫波、正弦上下扫频、正弦波不平衡、过摆、正弦偏移、正弦下降、谐波、间谐波、间谐步进、谐波失真。</w:t>
      </w:r>
    </w:p>
    <w:p w14:paraId="7899EB2C">
      <w:pPr>
        <w:pStyle w:val="14"/>
        <w:spacing w:line="360" w:lineRule="auto"/>
        <w:jc w:val="both"/>
        <w:outlineLvl w:val="2"/>
        <w:rPr>
          <w:rFonts w:hint="default" w:ascii="宋体" w:hAnsi="宋体" w:eastAsia="宋体" w:cs="宋体"/>
          <w:b/>
          <w:sz w:val="24"/>
          <w:szCs w:val="24"/>
          <w:u w:val="single"/>
          <w:lang w:eastAsia="zh-CN"/>
        </w:rPr>
      </w:pPr>
    </w:p>
    <w:p w14:paraId="1F8295FC">
      <w:pPr>
        <w:pStyle w:val="14"/>
        <w:spacing w:line="360" w:lineRule="auto"/>
        <w:jc w:val="both"/>
        <w:outlineLvl w:val="2"/>
        <w:rPr>
          <w:rFonts w:hint="default" w:ascii="宋体" w:hAnsi="宋体" w:eastAsia="宋体" w:cs="宋体"/>
          <w:b/>
          <w:sz w:val="24"/>
          <w:szCs w:val="24"/>
          <w:u w:val="single"/>
          <w:lang w:eastAsia="zh-CN"/>
        </w:rPr>
      </w:pPr>
      <w:r>
        <w:rPr>
          <w:rFonts w:ascii="宋体" w:hAnsi="宋体" w:eastAsia="宋体" w:cs="宋体"/>
          <w:b/>
          <w:sz w:val="24"/>
          <w:szCs w:val="24"/>
          <w:u w:val="single"/>
          <w:lang w:eastAsia="zh-CN"/>
        </w:rPr>
        <w:t>采购包4-2、</w:t>
      </w:r>
      <w:r>
        <w:rPr>
          <w:rFonts w:ascii="宋体" w:hAnsi="宋体" w:eastAsia="宋体" w:cs="宋体"/>
          <w:b/>
          <w:sz w:val="24"/>
          <w:szCs w:val="24"/>
          <w:u w:val="single"/>
        </w:rPr>
        <w:t>三相电压跌落测试系统</w:t>
      </w:r>
      <w:r>
        <w:rPr>
          <w:rFonts w:ascii="宋体" w:hAnsi="宋体" w:eastAsia="宋体" w:cs="宋体"/>
          <w:b/>
          <w:sz w:val="24"/>
          <w:szCs w:val="24"/>
          <w:u w:val="single"/>
          <w:lang w:eastAsia="zh-CN"/>
        </w:rPr>
        <w:t>：</w:t>
      </w:r>
    </w:p>
    <w:p w14:paraId="451C0D7D">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★1.系统功能：</w:t>
      </w:r>
    </w:p>
    <w:p w14:paraId="2556F4D2">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1.1系统功能介绍：该系统主要用于单相和三相样品电压跌落测试，可实现三角形和星形供电被试品电压跌落、暂降测试；</w:t>
      </w:r>
    </w:p>
    <w:p w14:paraId="4C568A9B">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1.2设备及附件应完全满足最新标准: IEC 61000-4-11和IEC 61000-4-34标准要求；</w:t>
      </w:r>
    </w:p>
    <w:p w14:paraId="19345147">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2.三相电压跌落模拟器：</w:t>
      </w:r>
    </w:p>
    <w:p w14:paraId="399C1C2E">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★2.1 全兼容三相测试系统，符合 IEC 61000-4-11Ed.2:2004 和 IEC 61000-4-34 标准，适用于三角形和星形供电被试品测试。</w:t>
      </w:r>
    </w:p>
    <w:p w14:paraId="3B41E544">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▲2.2 电压范围：3 x 690 V 交流， 400 V 交流(L - N)，600 V 直流；</w:t>
      </w:r>
    </w:p>
    <w:p w14:paraId="3495421D">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评审指标25</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2.3 峰值电流：大于600 A。</w:t>
      </w:r>
    </w:p>
    <w:p w14:paraId="30AC6E1C">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评审指标26</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2.4 最大电流：≥100A AC/DC。</w:t>
      </w:r>
    </w:p>
    <w:p w14:paraId="39EE7BD6">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评审指标27</w:t>
      </w:r>
      <w:r>
        <w:rPr>
          <w:rFonts w:hint="eastAsia" w:ascii="宋体" w:hAnsi="宋体" w:cs="宋体"/>
          <w:b/>
          <w:bCs/>
          <w:color w:val="auto"/>
          <w:sz w:val="24"/>
          <w:szCs w:val="24"/>
          <w:lang w:eastAsia="zh-CN"/>
        </w:rPr>
        <w:t>）</w:t>
      </w:r>
      <w:r>
        <w:rPr>
          <w:rFonts w:ascii="宋体" w:hAnsi="宋体" w:eastAsia="宋体" w:cs="宋体"/>
          <w:bCs/>
          <w:sz w:val="24"/>
          <w:szCs w:val="24"/>
          <w:lang w:eastAsia="zh-CN"/>
        </w:rPr>
        <w:t>2.5 下降/上升时间：1us-5us。</w:t>
      </w:r>
    </w:p>
    <w:p w14:paraId="1206B409">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评审指标28</w:t>
      </w:r>
      <w:r>
        <w:rPr>
          <w:rFonts w:hint="eastAsia" w:ascii="宋体" w:hAnsi="宋体" w:cs="宋体"/>
          <w:b/>
          <w:bCs/>
          <w:color w:val="auto"/>
          <w:sz w:val="24"/>
          <w:szCs w:val="24"/>
          <w:lang w:eastAsia="zh-CN"/>
        </w:rPr>
        <w:t>）</w:t>
      </w:r>
      <w:r>
        <w:rPr>
          <w:rFonts w:ascii="宋体" w:hAnsi="宋体" w:eastAsia="宋体" w:cs="宋体"/>
          <w:bCs/>
          <w:sz w:val="24"/>
          <w:szCs w:val="24"/>
          <w:lang w:eastAsia="zh-CN"/>
        </w:rPr>
        <w:t>2.6 输出：三相应用，L1，L2，L3，N 和 PE，后面板输出；单相应用，L，N 和 PE，前面板输出。</w:t>
      </w:r>
    </w:p>
    <w:p w14:paraId="39D686BE">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评审指标29</w:t>
      </w:r>
      <w:r>
        <w:rPr>
          <w:rFonts w:hint="eastAsia" w:ascii="宋体" w:hAnsi="宋体" w:cs="宋体"/>
          <w:b/>
          <w:bCs/>
          <w:color w:val="auto"/>
          <w:sz w:val="24"/>
          <w:szCs w:val="24"/>
          <w:lang w:eastAsia="zh-CN"/>
        </w:rPr>
        <w:t>）</w:t>
      </w:r>
      <w:r>
        <w:rPr>
          <w:rFonts w:ascii="宋体" w:hAnsi="宋体" w:eastAsia="宋体" w:cs="宋体"/>
          <w:bCs/>
          <w:sz w:val="24"/>
          <w:szCs w:val="24"/>
          <w:lang w:eastAsia="zh-CN"/>
        </w:rPr>
        <w:t>2.7 接口：USB或IEE 488.2。</w:t>
      </w:r>
    </w:p>
    <w:p w14:paraId="399D762D">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评审指标30</w:t>
      </w:r>
      <w:r>
        <w:rPr>
          <w:rFonts w:hint="eastAsia" w:ascii="宋体" w:hAnsi="宋体" w:cs="宋体"/>
          <w:b/>
          <w:bCs/>
          <w:color w:val="auto"/>
          <w:sz w:val="24"/>
          <w:szCs w:val="24"/>
          <w:lang w:eastAsia="zh-CN"/>
        </w:rPr>
        <w:t>）</w:t>
      </w:r>
      <w:r>
        <w:rPr>
          <w:rFonts w:ascii="宋体" w:hAnsi="宋体" w:eastAsia="宋体" w:cs="宋体"/>
          <w:bCs/>
          <w:sz w:val="24"/>
          <w:szCs w:val="24"/>
          <w:lang w:eastAsia="zh-CN"/>
        </w:rPr>
        <w:t>2.8 电流监测端口：内置电流探头10 mV/A；分流比1/100；</w:t>
      </w:r>
    </w:p>
    <w:p w14:paraId="727CB3F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▲2.9 保护：开关具有电子保护，防止短路；</w:t>
      </w:r>
    </w:p>
    <w:p w14:paraId="29F97930">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评审指标31</w:t>
      </w:r>
      <w:r>
        <w:rPr>
          <w:rFonts w:hint="eastAsia" w:ascii="宋体" w:hAnsi="宋体" w:cs="宋体"/>
          <w:b/>
          <w:bCs/>
          <w:color w:val="auto"/>
          <w:sz w:val="24"/>
          <w:szCs w:val="24"/>
          <w:lang w:eastAsia="zh-CN"/>
        </w:rPr>
        <w:t>）</w:t>
      </w:r>
      <w:r>
        <w:rPr>
          <w:rFonts w:ascii="宋体" w:hAnsi="宋体" w:eastAsia="宋体" w:cs="宋体"/>
          <w:bCs/>
          <w:sz w:val="24"/>
          <w:szCs w:val="24"/>
          <w:lang w:eastAsia="zh-CN"/>
        </w:rPr>
        <w:t>2.10 设备具备软件控制和手动操作两种模式，带有显示面板、按钮和旋钮，方便用户控制设备；</w:t>
      </w:r>
    </w:p>
    <w:p w14:paraId="365E032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3.控制软件：</w:t>
      </w:r>
    </w:p>
    <w:p w14:paraId="5579E0E5">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评审指标32</w:t>
      </w:r>
      <w:r>
        <w:rPr>
          <w:rFonts w:hint="eastAsia" w:ascii="宋体" w:hAnsi="宋体" w:cs="宋体"/>
          <w:b/>
          <w:bCs/>
          <w:color w:val="auto"/>
          <w:sz w:val="24"/>
          <w:szCs w:val="24"/>
          <w:lang w:eastAsia="zh-CN"/>
        </w:rPr>
        <w:t>）</w:t>
      </w:r>
      <w:r>
        <w:rPr>
          <w:rFonts w:ascii="宋体" w:hAnsi="宋体" w:eastAsia="宋体" w:cs="宋体"/>
          <w:bCs/>
          <w:sz w:val="24"/>
          <w:szCs w:val="24"/>
          <w:lang w:eastAsia="zh-CN"/>
        </w:rPr>
        <w:t>3.1 软件中内置标准库和用户自定义两种操作模式</w:t>
      </w:r>
    </w:p>
    <w:p w14:paraId="76713D41">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评审指标33</w:t>
      </w:r>
      <w:r>
        <w:rPr>
          <w:rFonts w:hint="eastAsia" w:ascii="宋体" w:hAnsi="宋体" w:cs="宋体"/>
          <w:b/>
          <w:bCs/>
          <w:color w:val="auto"/>
          <w:sz w:val="24"/>
          <w:szCs w:val="24"/>
          <w:lang w:eastAsia="zh-CN"/>
        </w:rPr>
        <w:t>）</w:t>
      </w:r>
      <w:r>
        <w:rPr>
          <w:rFonts w:ascii="宋体" w:hAnsi="宋体" w:eastAsia="宋体" w:cs="宋体"/>
          <w:bCs/>
          <w:sz w:val="24"/>
          <w:szCs w:val="24"/>
          <w:lang w:eastAsia="zh-CN"/>
        </w:rPr>
        <w:t>3.2 可以实现自动测试并打印测试报告</w:t>
      </w:r>
    </w:p>
    <w:p w14:paraId="6DCC487C">
      <w:pPr>
        <w:pStyle w:val="14"/>
        <w:spacing w:line="360" w:lineRule="auto"/>
        <w:jc w:val="both"/>
        <w:outlineLvl w:val="2"/>
        <w:rPr>
          <w:rFonts w:hint="default" w:ascii="宋体" w:hAnsi="宋体" w:eastAsia="宋体" w:cs="宋体"/>
          <w:bCs/>
          <w:sz w:val="24"/>
          <w:szCs w:val="24"/>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评审指标34</w:t>
      </w:r>
      <w:r>
        <w:rPr>
          <w:rFonts w:hint="eastAsia" w:ascii="宋体" w:hAnsi="宋体" w:cs="宋体"/>
          <w:b/>
          <w:bCs/>
          <w:color w:val="auto"/>
          <w:sz w:val="24"/>
          <w:szCs w:val="24"/>
          <w:lang w:eastAsia="zh-CN"/>
        </w:rPr>
        <w:t>）</w:t>
      </w:r>
      <w:r>
        <w:rPr>
          <w:rFonts w:ascii="宋体" w:hAnsi="宋体" w:eastAsia="宋体" w:cs="宋体"/>
          <w:bCs/>
          <w:sz w:val="24"/>
          <w:szCs w:val="24"/>
          <w:lang w:eastAsia="zh-CN"/>
        </w:rPr>
        <w:t>3.3 可以支持Windows10及以上操作系统</w:t>
      </w:r>
    </w:p>
    <w:p w14:paraId="3457134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▲3.4 跌落测试可设置Ramp V（斜坡电压）、Ramp Angle(斜坡相位角)和Ramp td（斜坡持续时间）的测试，方便用户诊断样品敏感点；</w:t>
      </w:r>
    </w:p>
    <w:p w14:paraId="1AC8F2F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▲3.5 软件具备Link test测试功能，可将多个测试项目链接测试，提高测试效率；</w:t>
      </w:r>
    </w:p>
    <w:p w14:paraId="7F3AC02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4.三相闪烁阻抗：</w:t>
      </w:r>
    </w:p>
    <w:p w14:paraId="613C740B">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评审指标35</w:t>
      </w:r>
      <w:r>
        <w:rPr>
          <w:rFonts w:hint="eastAsia" w:ascii="宋体" w:hAnsi="宋体" w:cs="宋体"/>
          <w:b/>
          <w:bCs/>
          <w:color w:val="auto"/>
          <w:sz w:val="24"/>
          <w:szCs w:val="24"/>
          <w:lang w:eastAsia="zh-CN"/>
        </w:rPr>
        <w:t>）</w:t>
      </w:r>
      <w:r>
        <w:rPr>
          <w:rFonts w:ascii="宋体" w:hAnsi="宋体" w:eastAsia="宋体" w:cs="宋体"/>
          <w:bCs/>
          <w:sz w:val="24"/>
          <w:szCs w:val="24"/>
          <w:lang w:eastAsia="zh-CN"/>
        </w:rPr>
        <w:t>4.1 满足IEC 60725，IEC 61000-3-11，IEC 61000-3-3，JIS C 61000-3-2标准</w:t>
      </w:r>
      <w:r>
        <w:rPr>
          <w:rFonts w:ascii="宋体" w:hAnsi="宋体" w:eastAsia="宋体" w:cs="宋体"/>
          <w:bCs/>
          <w:sz w:val="24"/>
          <w:szCs w:val="24"/>
          <w:highlight w:val="none"/>
          <w:lang w:eastAsia="zh-CN"/>
        </w:rPr>
        <w:t>要求。</w:t>
      </w:r>
    </w:p>
    <w:p w14:paraId="1156B4A9">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★4.2 相电流：每相≥75A。</w:t>
      </w:r>
    </w:p>
    <w:p w14:paraId="5D18D57B">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评审指标36</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4.3 单相低电流：连接L1相，范围：100mA–10A</w:t>
      </w:r>
      <w:r>
        <w:rPr>
          <w:rFonts w:hint="eastAsia" w:ascii="宋体" w:hAnsi="宋体" w:eastAsia="宋体" w:cs="宋体"/>
          <w:bCs/>
          <w:sz w:val="24"/>
          <w:szCs w:val="24"/>
          <w:highlight w:val="none"/>
          <w:lang w:eastAsia="zh-CN"/>
        </w:rPr>
        <w:t>；</w:t>
      </w:r>
      <w:r>
        <w:rPr>
          <w:rFonts w:ascii="宋体" w:hAnsi="宋体" w:eastAsia="宋体" w:cs="宋体"/>
          <w:bCs/>
          <w:sz w:val="24"/>
          <w:szCs w:val="24"/>
          <w:highlight w:val="none"/>
          <w:lang w:eastAsia="zh-CN"/>
        </w:rPr>
        <w:t xml:space="preserve"> 线电压： 3 x 400 V ± 10%</w:t>
      </w:r>
      <w:r>
        <w:rPr>
          <w:rFonts w:hint="eastAsia" w:ascii="宋体" w:hAnsi="宋体" w:eastAsia="宋体" w:cs="宋体"/>
          <w:bCs/>
          <w:sz w:val="24"/>
          <w:szCs w:val="24"/>
          <w:highlight w:val="none"/>
          <w:lang w:eastAsia="zh-CN"/>
        </w:rPr>
        <w:t>；</w:t>
      </w:r>
      <w:r>
        <w:rPr>
          <w:rFonts w:ascii="宋体" w:hAnsi="宋体" w:eastAsia="宋体" w:cs="宋体"/>
          <w:bCs/>
          <w:sz w:val="24"/>
          <w:szCs w:val="24"/>
          <w:highlight w:val="none"/>
          <w:lang w:eastAsia="zh-CN"/>
        </w:rPr>
        <w:t>线频率：47 Hz - 63 Hz。</w:t>
      </w:r>
    </w:p>
    <w:p w14:paraId="5971E874">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评审指标36</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4.</w:t>
      </w:r>
      <w:r>
        <w:rPr>
          <w:rFonts w:hint="eastAsia" w:ascii="宋体" w:hAnsi="宋体" w:eastAsia="宋体" w:cs="宋体"/>
          <w:bCs/>
          <w:sz w:val="24"/>
          <w:szCs w:val="24"/>
          <w:highlight w:val="none"/>
          <w:lang w:val="en-US" w:eastAsia="zh-CN"/>
        </w:rPr>
        <w:t>4</w:t>
      </w:r>
      <w:r>
        <w:rPr>
          <w:rFonts w:ascii="宋体" w:hAnsi="宋体" w:eastAsia="宋体" w:cs="宋体"/>
          <w:bCs/>
          <w:sz w:val="24"/>
          <w:szCs w:val="24"/>
          <w:highlight w:val="none"/>
          <w:lang w:eastAsia="zh-CN"/>
        </w:rPr>
        <w:t xml:space="preserve"> Zref：L：0.24 Ω + j0.15 Ω，N：0.16 Ω + j0.10 Ω</w:t>
      </w:r>
      <w:r>
        <w:rPr>
          <w:rFonts w:hint="eastAsia" w:ascii="宋体" w:hAnsi="宋体" w:eastAsia="宋体" w:cs="宋体"/>
          <w:bCs/>
          <w:sz w:val="24"/>
          <w:szCs w:val="24"/>
          <w:highlight w:val="none"/>
          <w:lang w:eastAsia="zh-CN"/>
        </w:rPr>
        <w:t>；</w:t>
      </w:r>
      <w:r>
        <w:rPr>
          <w:rFonts w:ascii="宋体" w:hAnsi="宋体" w:eastAsia="宋体" w:cs="宋体"/>
          <w:bCs/>
          <w:sz w:val="24"/>
          <w:szCs w:val="24"/>
          <w:highlight w:val="none"/>
          <w:lang w:eastAsia="zh-CN"/>
        </w:rPr>
        <w:t>Ztest：L:0.15 Ω + j0.15 Ω ，N:0.10 Ω + j0.10 Ω</w:t>
      </w:r>
    </w:p>
    <w:p w14:paraId="5EFD0A46">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评审指标37</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4.</w:t>
      </w:r>
      <w:r>
        <w:rPr>
          <w:rFonts w:hint="eastAsia" w:ascii="宋体" w:hAnsi="宋体" w:eastAsia="宋体" w:cs="宋体"/>
          <w:bCs/>
          <w:sz w:val="24"/>
          <w:szCs w:val="24"/>
          <w:highlight w:val="none"/>
          <w:lang w:val="en-US" w:eastAsia="zh-CN"/>
        </w:rPr>
        <w:t>5</w:t>
      </w:r>
      <w:r>
        <w:rPr>
          <w:rFonts w:ascii="宋体" w:hAnsi="宋体" w:eastAsia="宋体" w:cs="宋体"/>
          <w:bCs/>
          <w:sz w:val="24"/>
          <w:szCs w:val="24"/>
          <w:highlight w:val="none"/>
          <w:lang w:eastAsia="zh-CN"/>
        </w:rPr>
        <w:t xml:space="preserve"> 设备具备自动过流保护功能； 设备具备LED状态提示，方便观察设备工作状态；设备具备高电流安全接头，提高测试安全性；</w:t>
      </w:r>
    </w:p>
    <w:p w14:paraId="6A4F6CA7">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评审指标38</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5. 38U机柜1个，2台32寸以上监视器, 及其他实现以上功能的必备配件。</w:t>
      </w:r>
    </w:p>
    <w:p w14:paraId="6397E87B">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评审指标39</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6.上位机1套：配置应包含或高于以下要求：屏幕尺寸：27寸 、CPU：i5、内存16GB DDR5、存储硬盘：512G+2B、接口：USB-C、HDMI、SUB-A、RJ-45。</w:t>
      </w:r>
    </w:p>
    <w:p w14:paraId="79B8C06C">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7.瞬态抗扰度测试系统升级：</w:t>
      </w:r>
    </w:p>
    <w:p w14:paraId="0DD1035F">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★7.1 对现有设备进行固件和软件升级；</w:t>
      </w:r>
    </w:p>
    <w:p w14:paraId="1A456AF4">
      <w:pPr>
        <w:pStyle w:val="14"/>
        <w:spacing w:line="360" w:lineRule="auto"/>
        <w:jc w:val="both"/>
        <w:outlineLvl w:val="2"/>
        <w:rPr>
          <w:rFonts w:hint="default" w:ascii="宋体" w:hAnsi="宋体" w:eastAsia="宋体" w:cs="宋体"/>
          <w:bCs/>
          <w:sz w:val="24"/>
          <w:szCs w:val="24"/>
          <w:highlight w:val="none"/>
          <w:lang w:eastAsia="zh-CN"/>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评审指标40</w:t>
      </w:r>
      <w:r>
        <w:rPr>
          <w:rFonts w:hint="eastAsia" w:ascii="宋体" w:hAnsi="宋体" w:cs="宋体"/>
          <w:b/>
          <w:bCs/>
          <w:color w:val="auto"/>
          <w:sz w:val="24"/>
          <w:szCs w:val="24"/>
          <w:lang w:eastAsia="zh-CN"/>
        </w:rPr>
        <w:t>）</w:t>
      </w:r>
      <w:r>
        <w:rPr>
          <w:rFonts w:ascii="宋体" w:hAnsi="宋体" w:eastAsia="宋体" w:cs="宋体"/>
          <w:bCs/>
          <w:sz w:val="24"/>
          <w:szCs w:val="24"/>
          <w:highlight w:val="none"/>
          <w:lang w:eastAsia="zh-CN"/>
        </w:rPr>
        <w:t>7.2 包含以下升级：</w:t>
      </w:r>
    </w:p>
    <w:p w14:paraId="7362E07C">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包含UCS 200N（SN号：V0902104573）硬件升级；</w:t>
      </w:r>
    </w:p>
    <w:p w14:paraId="5F46D678">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包含LD 200（SN号：V0902104574）硬件升级；</w:t>
      </w:r>
    </w:p>
    <w:p w14:paraId="0A55AD3A">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包含VDS 200N（SN号：V0902104575）硬件升级；</w:t>
      </w:r>
    </w:p>
    <w:p w14:paraId="2C1BD99A">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包含PFS200（SN号：V0902104577）固件升级</w:t>
      </w:r>
    </w:p>
    <w:p w14:paraId="1B4E68FD">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包含iso.control软件升级</w:t>
      </w:r>
    </w:p>
    <w:p w14:paraId="3E455674">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包含autowave.control软件升级</w:t>
      </w:r>
    </w:p>
    <w:p w14:paraId="541B1321">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▲7.3 系统升级后可新增加以下标准：</w:t>
      </w:r>
    </w:p>
    <w:p w14:paraId="575C6D5A">
      <w:pPr>
        <w:pStyle w:val="14"/>
        <w:spacing w:line="360" w:lineRule="auto"/>
        <w:jc w:val="both"/>
        <w:outlineLvl w:val="2"/>
        <w:rPr>
          <w:rFonts w:hint="default" w:ascii="宋体" w:hAnsi="宋体" w:eastAsia="宋体" w:cs="宋体"/>
          <w:bCs/>
          <w:sz w:val="24"/>
          <w:szCs w:val="24"/>
          <w:highlight w:val="none"/>
          <w:lang w:eastAsia="zh-CN"/>
        </w:rPr>
      </w:pPr>
      <w:r>
        <w:rPr>
          <w:rFonts w:ascii="宋体" w:hAnsi="宋体" w:eastAsia="宋体" w:cs="宋体"/>
          <w:bCs/>
          <w:sz w:val="24"/>
          <w:szCs w:val="24"/>
          <w:highlight w:val="none"/>
          <w:lang w:eastAsia="zh-CN"/>
        </w:rPr>
        <w:t>ISO7637-2:2011</w:t>
      </w:r>
    </w:p>
    <w:p w14:paraId="771A250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ISO7637-3:2016</w:t>
      </w:r>
    </w:p>
    <w:p w14:paraId="28783A5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ISO 16750-2 (Edition 5, 2023-07)</w:t>
      </w:r>
    </w:p>
    <w:p w14:paraId="719E094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SAE J 1113 - 11 (Revision 6, 2012-01)</w:t>
      </w:r>
    </w:p>
    <w:p w14:paraId="2020069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SAE1455 (2006-06) </w:t>
      </w:r>
    </w:p>
    <w:p w14:paraId="68DCAC9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SAE1455 (2012-01) </w:t>
      </w:r>
    </w:p>
    <w:p w14:paraId="790C1F6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VDA 320 (2014-08)</w:t>
      </w:r>
    </w:p>
    <w:p w14:paraId="217A4B6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ECE R10 (Rev. 6, 2019-11) </w:t>
      </w:r>
    </w:p>
    <w:p w14:paraId="6198A2F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General Motors GMW3097 (2012-04) </w:t>
      </w:r>
    </w:p>
    <w:p w14:paraId="55EB7C6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General Motors GMW 3097 (2019-03)</w:t>
      </w:r>
    </w:p>
    <w:p w14:paraId="1308BB8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VW 82148 (2013-09) </w:t>
      </w:r>
    </w:p>
    <w:p w14:paraId="3EBEBDB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VW TL 810 00 (2014-04) </w:t>
      </w:r>
    </w:p>
    <w:p w14:paraId="0949E6C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TL 81000 (2016-02)</w:t>
      </w:r>
    </w:p>
    <w:p w14:paraId="2760CAA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TL 81000 (2018-03)</w:t>
      </w:r>
    </w:p>
    <w:p w14:paraId="4D3F66D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TL 81000 (2021-09)</w:t>
      </w:r>
    </w:p>
    <w:p w14:paraId="1FBFA10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TL 81000 (2024-06)</w:t>
      </w:r>
    </w:p>
    <w:p w14:paraId="062F80C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80000 (2017-10)</w:t>
      </w:r>
    </w:p>
    <w:p w14:paraId="13DC9BC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VW 80000 (2020-12) </w:t>
      </w:r>
    </w:p>
    <w:p w14:paraId="7677343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80000 (2021-01)</w:t>
      </w:r>
    </w:p>
    <w:p w14:paraId="5BD2DE3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80000 (2022-12)</w:t>
      </w:r>
    </w:p>
    <w:p w14:paraId="1F1B76F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VW 80300 (2016-10)</w:t>
      </w:r>
    </w:p>
    <w:p w14:paraId="5A298E7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MBN 10284-2 (2011-04) </w:t>
      </w:r>
    </w:p>
    <w:p w14:paraId="19131B0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MBN 10284-2 (2019-10)</w:t>
      </w:r>
    </w:p>
    <w:p w14:paraId="4B933A2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MBN 10284-4 (2011-04)  </w:t>
      </w:r>
    </w:p>
    <w:p w14:paraId="60FA820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MBN 10284-4 (2017-05)</w:t>
      </w:r>
    </w:p>
    <w:p w14:paraId="623E69D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MBN LV 148 (2013-11)</w:t>
      </w:r>
    </w:p>
    <w:p w14:paraId="1B7D2D9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MBN 50569 (2023-08) </w:t>
      </w:r>
    </w:p>
    <w:p w14:paraId="1B4FD7E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MBN 50284-2 (2023-02) </w:t>
      </w:r>
    </w:p>
    <w:p w14:paraId="6B68BEE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MBN 10567 (2024-01)</w:t>
      </w:r>
    </w:p>
    <w:p w14:paraId="25E53B8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BMW QV65013 (2012-06)</w:t>
      </w:r>
    </w:p>
    <w:p w14:paraId="271E01B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Tesla TS-0000425-05 (2019-03)</w:t>
      </w:r>
    </w:p>
    <w:p w14:paraId="199162D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Tesla TS-0000425-05 (Revision 5, 2022-04)</w:t>
      </w:r>
    </w:p>
    <w:p w14:paraId="44684A9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Tesla TS-0000425-05 (Revision 6, 2024-02) </w:t>
      </w:r>
    </w:p>
    <w:p w14:paraId="06E8EA3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Tesla TS-0000048-07 (Revision 5, 2022-04) </w:t>
      </w:r>
    </w:p>
    <w:p w14:paraId="7DFCB8A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Tesla TS-0000048-07 (Revision 6, 2024-01) </w:t>
      </w:r>
    </w:p>
    <w:p w14:paraId="2D47EBF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Ford FMC1278 (2018-12)</w:t>
      </w:r>
    </w:p>
    <w:p w14:paraId="09B7439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Ford FMC1278 (2024-01) </w:t>
      </w:r>
    </w:p>
    <w:p w14:paraId="7A13E30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Mazda MES PW 67602C (2015-11) </w:t>
      </w:r>
    </w:p>
    <w:p w14:paraId="134AAE6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Mazda MES PW 67602D (2019)</w:t>
      </w:r>
    </w:p>
    <w:p w14:paraId="50B22B9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Changan Automobile Company (2020-03)</w:t>
      </w:r>
    </w:p>
    <w:p w14:paraId="77B695A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Great Wall Motors Company GWT A D05-02 (2018-10) </w:t>
      </w:r>
    </w:p>
    <w:p w14:paraId="38AD473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Great Wall Motors Company Q/CC SY0954 (2016-11)</w:t>
      </w:r>
    </w:p>
    <w:p w14:paraId="578CCFB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Xiaomi QMAT5501 (2023)</w:t>
      </w:r>
    </w:p>
    <w:p w14:paraId="41076BD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NIO TP.20.007 (Revision 4, 2019)</w:t>
      </w:r>
    </w:p>
    <w:p w14:paraId="0817AB0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Mitsubishi ES-X82115 (Revision E)</w:t>
      </w:r>
    </w:p>
    <w:p w14:paraId="27113E1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Hyundai/Kia ES-96100-02 (2016-08) </w:t>
      </w:r>
    </w:p>
    <w:p w14:paraId="0435634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Hyundai/Kia ES96200-00 (2018-04) </w:t>
      </w:r>
    </w:p>
    <w:p w14:paraId="55D10CD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Hyundai Kia ES39110-00 (Revision F, 2006-05) </w:t>
      </w:r>
    </w:p>
    <w:p w14:paraId="3F09C39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TSC7001G (Revision 8, 2012-01)</w:t>
      </w:r>
    </w:p>
    <w:p w14:paraId="55F71B4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Fiat 9-90111-01 (Change A, 2012-06) </w:t>
      </w:r>
    </w:p>
    <w:p w14:paraId="24B959C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Fiat-Chrysler FCA CS.00054 (2023-07) </w:t>
      </w:r>
    </w:p>
    <w:p w14:paraId="1402073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Iveco 18-2252 (2024-01) </w:t>
      </w:r>
    </w:p>
    <w:p w14:paraId="144F324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Jaguar-Rover JLR-EMC-CS (Version 1.0, Amendment 3, 2014-03) </w:t>
      </w:r>
    </w:p>
    <w:p w14:paraId="5A0ADEA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Case New Holland ENS0310 (2013-12) </w:t>
      </w:r>
    </w:p>
    <w:p w14:paraId="7A5B161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Case New Holland CNH - ENS0310 Rev. M (2017-08)</w:t>
      </w:r>
    </w:p>
    <w:p w14:paraId="63EFF8F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John Deere JDQ 202 (2013-12) </w:t>
      </w:r>
    </w:p>
    <w:p w14:paraId="11438AF4">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John Deere JDQ 202 (2017-08)</w:t>
      </w:r>
    </w:p>
    <w:p w14:paraId="48013ED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CAT EC42 (Version 4, 2015-05) </w:t>
      </w:r>
    </w:p>
    <w:p w14:paraId="0940345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CTCT EMC-1 (Revision 1, 2016-04) </w:t>
      </w:r>
    </w:p>
    <w:p w14:paraId="5B5D0162">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Daihatsu DTSC 7034G (Revision 2, 2016-09) </w:t>
      </w:r>
    </w:p>
    <w:p w14:paraId="6D2F523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Honda 3910Z-TVA -0000 (2016-08) </w:t>
      </w:r>
    </w:p>
    <w:p w14:paraId="474AA59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Honda 7794Z-TA0A-0000 (2007-01) </w:t>
      </w:r>
    </w:p>
    <w:p w14:paraId="4B4B0589">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Honda 7794Z-SNAA-0000 (2004-12) </w:t>
      </w:r>
    </w:p>
    <w:p w14:paraId="20784F7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Karma C1800STA0130 (Revision 2, 2010-05) </w:t>
      </w:r>
    </w:p>
    <w:p w14:paraId="0D14D92D">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PACCAR CS0013 (2014-03) </w:t>
      </w:r>
    </w:p>
    <w:p w14:paraId="142A6F9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POLARIS ENG-SPEC-0183 (2015-09) </w:t>
      </w:r>
    </w:p>
    <w:p w14:paraId="4E9FCEC8">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Claas CN 05 0215-1 (2017-01) </w:t>
      </w:r>
    </w:p>
    <w:p w14:paraId="1628DCEC">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FENDT/EVA-Seelos EMC testing General Guidelines (2015-12) </w:t>
      </w:r>
    </w:p>
    <w:p w14:paraId="33D34155">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KTM Hardware qualification plan (2019-03) </w:t>
      </w:r>
    </w:p>
    <w:p w14:paraId="0F25B5BA">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MAN M3285 (2011-09) </w:t>
      </w:r>
    </w:p>
    <w:p w14:paraId="2171BACE">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MAN M3285 (2017-07) </w:t>
      </w:r>
    </w:p>
    <w:p w14:paraId="1AB49A57">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McLaren MSL.03.04.0063 (2013-04) </w:t>
      </w:r>
    </w:p>
    <w:p w14:paraId="1214CF31">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PSA B21 7110 (Rev. F, 2019-04) </w:t>
      </w:r>
    </w:p>
    <w:p w14:paraId="31F6C52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Piaggio 7431 (Edition 8, 2022-04)</w:t>
      </w:r>
    </w:p>
    <w:p w14:paraId="3B114E60">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Renault 36.00.038/--B (2017-03) </w:t>
      </w:r>
    </w:p>
    <w:p w14:paraId="5FC9A71F">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Scania TB1901 (2016-05) </w:t>
      </w:r>
    </w:p>
    <w:p w14:paraId="2F6EB72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Fisker FSK-FM29-CES-014 (2021-05) </w:t>
      </w:r>
    </w:p>
    <w:p w14:paraId="02045E46">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Stellantis CS.00244 LV_EE_components (2023-07) </w:t>
      </w:r>
    </w:p>
    <w:p w14:paraId="4FE8C61B">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 xml:space="preserve">VG 96916-5 (2023-06)  </w:t>
      </w:r>
    </w:p>
    <w:p w14:paraId="68633703">
      <w:pPr>
        <w:pStyle w:val="14"/>
        <w:spacing w:line="360" w:lineRule="auto"/>
        <w:jc w:val="both"/>
        <w:outlineLvl w:val="2"/>
        <w:rPr>
          <w:rFonts w:hint="default" w:ascii="宋体" w:hAnsi="宋体" w:eastAsia="宋体" w:cs="宋体"/>
          <w:bCs/>
          <w:sz w:val="24"/>
          <w:szCs w:val="24"/>
          <w:lang w:eastAsia="zh-CN"/>
        </w:rPr>
      </w:pPr>
      <w:r>
        <w:rPr>
          <w:rFonts w:ascii="宋体" w:hAnsi="宋体" w:eastAsia="宋体" w:cs="宋体"/>
          <w:bCs/>
          <w:sz w:val="24"/>
          <w:szCs w:val="24"/>
          <w:lang w:eastAsia="zh-CN"/>
        </w:rPr>
        <w:t>Rivian RTS.3653 (Revision 4, 2022-03)</w:t>
      </w:r>
    </w:p>
    <w:p w14:paraId="2075ADD7">
      <w:pPr>
        <w:pStyle w:val="14"/>
        <w:spacing w:line="360" w:lineRule="auto"/>
        <w:jc w:val="both"/>
        <w:outlineLvl w:val="2"/>
        <w:rPr>
          <w:rFonts w:hint="default" w:ascii="宋体" w:hAnsi="宋体" w:eastAsia="宋体" w:cs="宋体"/>
          <w:b/>
          <w:sz w:val="24"/>
          <w:szCs w:val="24"/>
          <w:lang w:eastAsia="zh-CN"/>
        </w:rPr>
      </w:pPr>
    </w:p>
    <w:p w14:paraId="66E85170">
      <w:pPr>
        <w:pStyle w:val="14"/>
        <w:spacing w:line="360" w:lineRule="auto"/>
        <w:jc w:val="both"/>
        <w:outlineLvl w:val="2"/>
        <w:rPr>
          <w:rFonts w:hint="default" w:ascii="宋体" w:hAnsi="宋体" w:eastAsia="宋体" w:cs="宋体"/>
          <w:b/>
          <w:sz w:val="24"/>
          <w:szCs w:val="24"/>
          <w:highlight w:val="none"/>
          <w:lang w:eastAsia="zh-CN"/>
        </w:rPr>
      </w:pPr>
      <w:bookmarkStart w:id="20" w:name="OLE_LINK7"/>
      <w:r>
        <w:rPr>
          <w:rFonts w:ascii="宋体" w:hAnsi="宋体" w:eastAsia="宋体" w:cs="宋体"/>
          <w:b/>
          <w:sz w:val="24"/>
          <w:szCs w:val="24"/>
          <w:highlight w:val="none"/>
          <w:lang w:eastAsia="zh-CN"/>
        </w:rPr>
        <w:t>采购包5、</w:t>
      </w:r>
      <w:r>
        <w:rPr>
          <w:rFonts w:ascii="宋体" w:hAnsi="宋体" w:eastAsia="宋体" w:cs="宋体"/>
          <w:b/>
          <w:sz w:val="24"/>
          <w:szCs w:val="24"/>
          <w:highlight w:val="none"/>
        </w:rPr>
        <w:t>电力储能/电动汽车B</w:t>
      </w:r>
      <w:r>
        <w:rPr>
          <w:rFonts w:hint="default" w:ascii="宋体" w:hAnsi="宋体" w:eastAsia="宋体" w:cs="宋体"/>
          <w:b/>
          <w:sz w:val="24"/>
          <w:szCs w:val="24"/>
          <w:highlight w:val="none"/>
        </w:rPr>
        <w:t>M</w:t>
      </w:r>
      <w:r>
        <w:rPr>
          <w:rFonts w:ascii="宋体" w:hAnsi="宋体" w:eastAsia="宋体" w:cs="宋体"/>
          <w:b/>
          <w:sz w:val="24"/>
          <w:szCs w:val="24"/>
          <w:highlight w:val="none"/>
        </w:rPr>
        <w:t>S测试系统</w:t>
      </w:r>
      <w:r>
        <w:rPr>
          <w:rFonts w:ascii="宋体" w:hAnsi="宋体" w:eastAsia="宋体" w:cs="宋体"/>
          <w:b/>
          <w:sz w:val="24"/>
          <w:szCs w:val="24"/>
          <w:highlight w:val="none"/>
          <w:lang w:eastAsia="zh-CN"/>
        </w:rPr>
        <w:t>：</w:t>
      </w:r>
    </w:p>
    <w:p w14:paraId="3824640A">
      <w:pPr>
        <w:pStyle w:val="14"/>
        <w:spacing w:line="360" w:lineRule="auto"/>
        <w:rPr>
          <w:rFonts w:hint="default" w:ascii="宋体" w:hAnsi="宋体" w:cs="宋体"/>
          <w:b/>
          <w:sz w:val="24"/>
          <w:szCs w:val="24"/>
          <w:highlight w:val="none"/>
        </w:rPr>
      </w:pPr>
      <w:r>
        <w:rPr>
          <w:rFonts w:ascii="宋体" w:hAnsi="宋体" w:eastAsia="宋体" w:cs="宋体"/>
          <w:b/>
          <w:sz w:val="24"/>
          <w:szCs w:val="24"/>
          <w:highlight w:val="none"/>
        </w:rPr>
        <w:t>★</w:t>
      </w:r>
      <w:r>
        <w:rPr>
          <w:rFonts w:ascii="宋体" w:hAnsi="宋体" w:cs="宋体"/>
          <w:b/>
          <w:sz w:val="24"/>
          <w:szCs w:val="24"/>
          <w:highlight w:val="none"/>
        </w:rPr>
        <w:t>1、标准要求</w:t>
      </w:r>
    </w:p>
    <w:p w14:paraId="671EB197">
      <w:pPr>
        <w:pStyle w:val="14"/>
        <w:spacing w:line="360" w:lineRule="auto"/>
        <w:rPr>
          <w:rFonts w:hint="default"/>
          <w:sz w:val="24"/>
          <w:szCs w:val="24"/>
          <w:highlight w:val="none"/>
        </w:rPr>
      </w:pPr>
      <w:r>
        <w:rPr>
          <w:rFonts w:ascii="宋体" w:hAnsi="宋体" w:cs="宋体"/>
          <w:sz w:val="24"/>
          <w:szCs w:val="24"/>
          <w:highlight w:val="none"/>
        </w:rPr>
        <w:t>本技术要求规定了储能/汽车BMS检测能力建设储能/汽车BMS检测系统的技术指标和相关实施细节。此要求是储能/汽车BMS检测系统制作的指导性文件，是设计、制作、验收储能/汽车BMS检测系统的基本依据；具体参考标准如下：</w:t>
      </w:r>
    </w:p>
    <w:p w14:paraId="1F8FE585">
      <w:pPr>
        <w:pStyle w:val="14"/>
        <w:spacing w:line="360" w:lineRule="auto"/>
        <w:jc w:val="both"/>
        <w:rPr>
          <w:rFonts w:hint="default"/>
          <w:sz w:val="24"/>
          <w:szCs w:val="24"/>
          <w:highlight w:val="none"/>
        </w:rPr>
      </w:pPr>
      <w:r>
        <w:rPr>
          <w:rFonts w:ascii="宋体" w:hAnsi="宋体" w:cs="宋体"/>
          <w:sz w:val="24"/>
          <w:szCs w:val="24"/>
          <w:highlight w:val="none"/>
        </w:rPr>
        <w:t>1.1 完全满足：GB/T 34131-2023《电力储能用电池管理系统》的技术标准要求测试储能BMS。</w:t>
      </w:r>
    </w:p>
    <w:p w14:paraId="6E64D5DD">
      <w:pPr>
        <w:pStyle w:val="14"/>
        <w:spacing w:line="360" w:lineRule="auto"/>
        <w:jc w:val="both"/>
        <w:rPr>
          <w:rFonts w:hint="default" w:ascii="宋体" w:hAnsi="宋体" w:cs="宋体"/>
          <w:sz w:val="24"/>
          <w:szCs w:val="24"/>
          <w:highlight w:val="none"/>
        </w:rPr>
      </w:pPr>
      <w:r>
        <w:rPr>
          <w:rFonts w:ascii="宋体" w:hAnsi="宋体" w:cs="宋体"/>
          <w:sz w:val="24"/>
          <w:szCs w:val="24"/>
          <w:highlight w:val="none"/>
        </w:rPr>
        <w:t>1.2 兼容满足部分GB∕T 38661-2020 《电动汽车用电池管理系统技术条件的技术》标准测试汽车BMS。</w:t>
      </w:r>
    </w:p>
    <w:p w14:paraId="2D6D621E">
      <w:pPr>
        <w:pStyle w:val="14"/>
        <w:spacing w:line="360" w:lineRule="auto"/>
        <w:jc w:val="both"/>
        <w:rPr>
          <w:rFonts w:hint="default"/>
          <w:sz w:val="24"/>
          <w:szCs w:val="24"/>
          <w:highlight w:val="none"/>
        </w:rPr>
      </w:pPr>
      <w:r>
        <w:rPr>
          <w:rFonts w:hint="default" w:ascii="宋体" w:hAnsi="宋体" w:cs="宋体"/>
          <w:sz w:val="24"/>
          <w:szCs w:val="24"/>
          <w:highlight w:val="none"/>
        </w:rPr>
        <w:t>1.3</w:t>
      </w:r>
      <w:r>
        <w:rPr>
          <w:rFonts w:ascii="宋体" w:hAnsi="宋体" w:cs="宋体"/>
          <w:sz w:val="24"/>
          <w:szCs w:val="24"/>
          <w:highlight w:val="none"/>
        </w:rPr>
        <w:t>适配不同B</w:t>
      </w:r>
      <w:r>
        <w:rPr>
          <w:rFonts w:hint="default" w:ascii="宋体" w:hAnsi="宋体" w:cs="宋体"/>
          <w:sz w:val="24"/>
          <w:szCs w:val="24"/>
          <w:highlight w:val="none"/>
        </w:rPr>
        <w:t>MS</w:t>
      </w:r>
      <w:r>
        <w:rPr>
          <w:rFonts w:ascii="宋体" w:hAnsi="宋体" w:cs="宋体"/>
          <w:sz w:val="24"/>
          <w:szCs w:val="24"/>
          <w:highlight w:val="none"/>
        </w:rPr>
        <w:t>厂家的通信协议。</w:t>
      </w:r>
    </w:p>
    <w:p w14:paraId="5859E2DA">
      <w:pPr>
        <w:pStyle w:val="14"/>
        <w:spacing w:line="360" w:lineRule="auto"/>
        <w:rPr>
          <w:rFonts w:hint="default" w:ascii="宋体" w:hAnsi="宋体" w:eastAsia="宋体" w:cs="宋体"/>
          <w:sz w:val="24"/>
          <w:szCs w:val="24"/>
          <w:highlight w:val="none"/>
        </w:rPr>
      </w:pPr>
      <w:r>
        <w:rPr>
          <w:rFonts w:ascii="宋体" w:hAnsi="宋体" w:eastAsia="宋体" w:cs="宋体"/>
          <w:b/>
          <w:sz w:val="24"/>
          <w:szCs w:val="24"/>
          <w:highlight w:val="none"/>
        </w:rPr>
        <w:t>2、技术指标</w:t>
      </w:r>
    </w:p>
    <w:p w14:paraId="0B60A9C1">
      <w:pPr>
        <w:pStyle w:val="14"/>
        <w:spacing w:line="360" w:lineRule="auto"/>
        <w:jc w:val="both"/>
        <w:rPr>
          <w:rFonts w:hint="default" w:ascii="宋体" w:hAnsi="宋体" w:eastAsia="宋体" w:cs="宋体"/>
          <w:sz w:val="24"/>
          <w:szCs w:val="24"/>
          <w:highlight w:val="none"/>
        </w:rPr>
      </w:pPr>
      <w:r>
        <w:rPr>
          <w:rFonts w:ascii="宋体" w:hAnsi="宋体" w:eastAsia="宋体" w:cs="宋体"/>
          <w:b/>
          <w:sz w:val="24"/>
          <w:szCs w:val="24"/>
          <w:highlight w:val="none"/>
        </w:rPr>
        <w:t>2.1 单体电芯模拟器</w:t>
      </w:r>
    </w:p>
    <w:p w14:paraId="165CFB73">
      <w:pPr>
        <w:autoSpaceDE w:val="0"/>
        <w:autoSpaceDN w:val="0"/>
        <w:spacing w:line="360" w:lineRule="auto"/>
        <w:rPr>
          <w:rFonts w:ascii="宋体" w:hAnsi="宋体" w:eastAsia="宋体" w:cs="宋体"/>
          <w:b/>
          <w:bCs/>
          <w:sz w:val="24"/>
          <w:szCs w:val="24"/>
          <w:highlight w:val="none"/>
        </w:rPr>
      </w:pPr>
      <w:r>
        <w:rPr>
          <w:rFonts w:hint="eastAsia" w:ascii="宋体" w:hAnsi="宋体" w:eastAsia="宋体" w:cs="宋体"/>
          <w:b/>
          <w:sz w:val="24"/>
          <w:szCs w:val="24"/>
          <w:highlight w:val="none"/>
        </w:rPr>
        <w:t>★</w:t>
      </w:r>
      <w:r>
        <w:rPr>
          <w:rFonts w:hint="eastAsia" w:ascii="宋体" w:hAnsi="宋体" w:eastAsia="宋体" w:cs="宋体"/>
          <w:bCs/>
          <w:sz w:val="24"/>
          <w:szCs w:val="24"/>
          <w:highlight w:val="none"/>
        </w:rPr>
        <w:t>2.1.</w:t>
      </w:r>
      <w:r>
        <w:rPr>
          <w:rFonts w:hint="eastAsia" w:ascii="宋体" w:hAnsi="宋体" w:eastAsia="宋体" w:cs="宋体"/>
          <w:sz w:val="24"/>
          <w:szCs w:val="24"/>
          <w:highlight w:val="none"/>
        </w:rPr>
        <w:t>1 可实现不少于120路电芯模拟，支持120通道并行通讯速度高达10ms，可支持后续扩展至400通道以上；</w:t>
      </w:r>
      <w:r>
        <w:rPr>
          <w:rFonts w:hint="eastAsia" w:ascii="宋体" w:hAnsi="宋体" w:eastAsia="宋体" w:cs="宋体"/>
          <w:b/>
          <w:bCs/>
          <w:sz w:val="24"/>
          <w:szCs w:val="24"/>
          <w:highlight w:val="none"/>
        </w:rPr>
        <w:t>（投标时需提供产品彩页或者技术方案书予以佐证）</w:t>
      </w:r>
    </w:p>
    <w:p w14:paraId="0827364F">
      <w:pPr>
        <w:autoSpaceDE w:val="0"/>
        <w:autoSpaceDN w:val="0"/>
        <w:spacing w:line="360" w:lineRule="auto"/>
        <w:rPr>
          <w:rFonts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w:t>
      </w:r>
      <w:r>
        <w:rPr>
          <w:rFonts w:hint="eastAsia" w:ascii="宋体" w:hAnsi="宋体" w:cs="宋体"/>
          <w:b/>
          <w:bCs/>
          <w:color w:val="auto"/>
          <w:sz w:val="24"/>
          <w:szCs w:val="24"/>
          <w:lang w:eastAsia="zh-CN"/>
        </w:rPr>
        <w:t>）</w:t>
      </w:r>
      <w:r>
        <w:rPr>
          <w:rFonts w:hint="eastAsia" w:ascii="宋体" w:hAnsi="宋体" w:eastAsia="宋体" w:cs="宋体"/>
          <w:bCs/>
          <w:sz w:val="24"/>
          <w:szCs w:val="24"/>
          <w:highlight w:val="none"/>
        </w:rPr>
        <w:t>2.1.</w:t>
      </w:r>
      <w:r>
        <w:rPr>
          <w:rFonts w:hint="eastAsia" w:ascii="宋体" w:hAnsi="宋体" w:eastAsia="宋体" w:cs="宋体"/>
          <w:sz w:val="24"/>
          <w:szCs w:val="24"/>
          <w:highlight w:val="none"/>
        </w:rPr>
        <w:t>2 电芯模拟器采用3U标准单机构成；方便上机柜与散热要求；</w:t>
      </w:r>
    </w:p>
    <w:p w14:paraId="635B2BC5">
      <w:pPr>
        <w:autoSpaceDE w:val="0"/>
        <w:autoSpaceDN w:val="0"/>
        <w:spacing w:line="360" w:lineRule="auto"/>
        <w:rPr>
          <w:rFonts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w:t>
      </w:r>
      <w:r>
        <w:rPr>
          <w:rFonts w:hint="eastAsia" w:ascii="宋体" w:hAnsi="宋体" w:cs="宋体"/>
          <w:b/>
          <w:bCs/>
          <w:color w:val="auto"/>
          <w:sz w:val="24"/>
          <w:szCs w:val="24"/>
          <w:lang w:eastAsia="zh-CN"/>
        </w:rPr>
        <w:t>）</w:t>
      </w:r>
      <w:r>
        <w:rPr>
          <w:rFonts w:hint="eastAsia" w:ascii="宋体" w:hAnsi="宋体" w:eastAsia="宋体" w:cs="宋体"/>
          <w:bCs/>
          <w:sz w:val="24"/>
          <w:szCs w:val="24"/>
          <w:highlight w:val="none"/>
        </w:rPr>
        <w:t>2.1.</w:t>
      </w:r>
      <w:r>
        <w:rPr>
          <w:rFonts w:hint="eastAsia" w:ascii="宋体" w:hAnsi="宋体" w:eastAsia="宋体" w:cs="宋体"/>
          <w:sz w:val="24"/>
          <w:szCs w:val="24"/>
          <w:highlight w:val="none"/>
        </w:rPr>
        <w:t>3 带不小于4英寸高清彩屏显示，方便数据查询与参数设置；</w:t>
      </w:r>
    </w:p>
    <w:p w14:paraId="3BAB11D0">
      <w:pPr>
        <w:autoSpaceDE w:val="0"/>
        <w:autoSpaceDN w:val="0"/>
        <w:spacing w:line="360" w:lineRule="auto"/>
        <w:rPr>
          <w:rFonts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w:t>
      </w:r>
      <w:r>
        <w:rPr>
          <w:rFonts w:hint="eastAsia" w:ascii="宋体" w:hAnsi="宋体" w:cs="宋体"/>
          <w:b/>
          <w:bCs/>
          <w:color w:val="auto"/>
          <w:sz w:val="24"/>
          <w:szCs w:val="24"/>
          <w:lang w:eastAsia="zh-CN"/>
        </w:rPr>
        <w:t>）</w:t>
      </w:r>
      <w:r>
        <w:rPr>
          <w:rFonts w:hint="eastAsia" w:ascii="宋体" w:hAnsi="宋体" w:eastAsia="宋体" w:cs="宋体"/>
          <w:bCs/>
          <w:sz w:val="24"/>
          <w:szCs w:val="24"/>
          <w:highlight w:val="none"/>
        </w:rPr>
        <w:t>2.1.</w:t>
      </w:r>
      <w:r>
        <w:rPr>
          <w:rFonts w:hint="eastAsia" w:ascii="宋体" w:hAnsi="宋体" w:eastAsia="宋体" w:cs="宋体"/>
          <w:sz w:val="24"/>
          <w:szCs w:val="24"/>
          <w:highlight w:val="none"/>
        </w:rPr>
        <w:t>4 电池仿真电压范围0~6V，每节可吸收或输出最大5A电流；</w:t>
      </w:r>
    </w:p>
    <w:p w14:paraId="2CD72BF6">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2.1.</w:t>
      </w:r>
      <w:r>
        <w:rPr>
          <w:rFonts w:hint="eastAsia" w:ascii="宋体" w:hAnsi="宋体" w:eastAsia="宋体" w:cs="宋体"/>
          <w:sz w:val="24"/>
          <w:szCs w:val="24"/>
        </w:rPr>
        <w:t>5 电压分辨率0.1mV，电压精度0.6mV；</w:t>
      </w:r>
    </w:p>
    <w:p w14:paraId="55BE3636">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6 电流最高分辨率0.1μA，电流精度1μA；</w:t>
      </w:r>
    </w:p>
    <w:p w14:paraId="7D329825">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7 电压纹波噪声：≤2mVrms；</w:t>
      </w:r>
    </w:p>
    <w:p w14:paraId="1903BE2D">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8 长时间稳定性：≤100ppm/1000h；</w:t>
      </w:r>
    </w:p>
    <w:p w14:paraId="3FA38C34">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9 通讯响应时间：≤10ms；</w:t>
      </w:r>
    </w:p>
    <w:p w14:paraId="00468827">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10 满电压输出下10%~90%负载变化时，恢复到原电压-50mV以内的时间&lt;100μs；</w:t>
      </w:r>
    </w:p>
    <w:p w14:paraId="2CE1EACE">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11 支持支持电源模式、充电模式、电池模拟、序列测试、SOC模拟、实时曲线多种电池模拟功能；</w:t>
      </w:r>
    </w:p>
    <w:p w14:paraId="71F9A1DF">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12 支持正负极短路、正负极断路、极性反接模拟功能；</w:t>
      </w:r>
    </w:p>
    <w:p w14:paraId="10C3E9B7">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13 支持LAN、RS232、CAN通讯控制。</w:t>
      </w:r>
    </w:p>
    <w:p w14:paraId="46E9D524">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w:t>
      </w:r>
      <w:r>
        <w:rPr>
          <w:rFonts w:hint="eastAsia" w:ascii="宋体" w:hAnsi="宋体" w:cs="宋体"/>
          <w:b/>
          <w:bCs/>
          <w:color w:val="auto"/>
          <w:sz w:val="24"/>
          <w:szCs w:val="24"/>
          <w:lang w:eastAsia="zh-CN"/>
        </w:rPr>
        <w:t>）</w:t>
      </w:r>
      <w:r>
        <w:rPr>
          <w:rFonts w:hint="eastAsia" w:ascii="宋体" w:hAnsi="宋体" w:eastAsia="宋体" w:cs="宋体"/>
          <w:bCs/>
          <w:sz w:val="24"/>
          <w:szCs w:val="24"/>
        </w:rPr>
        <w:t>2.1.</w:t>
      </w:r>
      <w:r>
        <w:rPr>
          <w:rFonts w:hint="eastAsia" w:ascii="宋体" w:hAnsi="宋体" w:eastAsia="宋体" w:cs="宋体"/>
          <w:sz w:val="24"/>
          <w:szCs w:val="24"/>
        </w:rPr>
        <w:t>14 可单独使用，各通道间相互隔离，电压独立可调，可单独设定每节电池的输出电压，电压设定功能中，要求电压可以线性变化，软硬件可支持通道拓展兼容</w:t>
      </w:r>
    </w:p>
    <w:p w14:paraId="13A2A0BF">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2.1.</w:t>
      </w:r>
      <w:r>
        <w:rPr>
          <w:rFonts w:hint="eastAsia" w:ascii="宋体" w:hAnsi="宋体" w:eastAsia="宋体" w:cs="宋体"/>
          <w:sz w:val="24"/>
          <w:szCs w:val="24"/>
        </w:rPr>
        <w:t>15 支持客户端定制线束及夹具定制要求。</w:t>
      </w:r>
    </w:p>
    <w:p w14:paraId="74F0282E">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2.2 高精度电流源</w:t>
      </w:r>
    </w:p>
    <w:p w14:paraId="3C42656C">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2.2.</w:t>
      </w:r>
      <w:r>
        <w:rPr>
          <w:rFonts w:hint="eastAsia" w:ascii="宋体" w:hAnsi="宋体" w:eastAsia="宋体" w:cs="宋体"/>
          <w:sz w:val="24"/>
          <w:szCs w:val="24"/>
        </w:rPr>
        <w:t>1 电流范围：-1000~1000A；</w:t>
      </w:r>
    </w:p>
    <w:p w14:paraId="5A39ABB0">
      <w:pPr>
        <w:autoSpaceDE w:val="0"/>
        <w:autoSpaceDN w:val="0"/>
        <w:spacing w:line="360" w:lineRule="auto"/>
        <w:rPr>
          <w:rFonts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bCs/>
          <w:sz w:val="24"/>
          <w:szCs w:val="24"/>
        </w:rPr>
        <w:t>2.2.</w:t>
      </w:r>
      <w:r>
        <w:rPr>
          <w:rFonts w:hint="eastAsia" w:ascii="宋体" w:hAnsi="宋体" w:eastAsia="宋体" w:cs="宋体"/>
          <w:sz w:val="24"/>
          <w:szCs w:val="24"/>
        </w:rPr>
        <w:t>2 电流精度：0.1%+0.1%F.S.；</w:t>
      </w:r>
    </w:p>
    <w:p w14:paraId="717C5567">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w:t>
      </w:r>
      <w:r>
        <w:rPr>
          <w:rFonts w:hint="eastAsia" w:ascii="宋体" w:hAnsi="宋体" w:cs="宋体"/>
          <w:b/>
          <w:bCs/>
          <w:color w:val="auto"/>
          <w:sz w:val="24"/>
          <w:szCs w:val="24"/>
          <w:lang w:eastAsia="zh-CN"/>
        </w:rPr>
        <w:t>）</w:t>
      </w:r>
      <w:r>
        <w:rPr>
          <w:rFonts w:hint="eastAsia" w:ascii="宋体" w:hAnsi="宋体" w:eastAsia="宋体" w:cs="宋体"/>
          <w:bCs/>
          <w:sz w:val="24"/>
          <w:szCs w:val="24"/>
        </w:rPr>
        <w:t>2.2.</w:t>
      </w:r>
      <w:r>
        <w:rPr>
          <w:rFonts w:hint="eastAsia" w:ascii="宋体" w:hAnsi="宋体" w:eastAsia="宋体" w:cs="宋体"/>
          <w:sz w:val="24"/>
          <w:szCs w:val="24"/>
        </w:rPr>
        <w:t>3 电源调整率（电流）：≤0.05%；</w:t>
      </w:r>
    </w:p>
    <w:p w14:paraId="49E541C9">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w:t>
      </w:r>
      <w:r>
        <w:rPr>
          <w:rFonts w:hint="eastAsia" w:ascii="宋体" w:hAnsi="宋体" w:cs="宋体"/>
          <w:b/>
          <w:bCs/>
          <w:color w:val="auto"/>
          <w:sz w:val="24"/>
          <w:szCs w:val="24"/>
          <w:lang w:eastAsia="zh-CN"/>
        </w:rPr>
        <w:t>）</w:t>
      </w:r>
      <w:r>
        <w:rPr>
          <w:rFonts w:hint="eastAsia" w:ascii="宋体" w:hAnsi="宋体" w:eastAsia="宋体" w:cs="宋体"/>
          <w:bCs/>
          <w:sz w:val="24"/>
          <w:szCs w:val="24"/>
        </w:rPr>
        <w:t>2.2.</w:t>
      </w:r>
      <w:r>
        <w:rPr>
          <w:rFonts w:hint="eastAsia" w:ascii="宋体" w:hAnsi="宋体" w:eastAsia="宋体" w:cs="宋体"/>
          <w:sz w:val="24"/>
          <w:szCs w:val="24"/>
        </w:rPr>
        <w:t>4 负载调整率（电流）：≤0.05%；</w:t>
      </w:r>
    </w:p>
    <w:p w14:paraId="7B198F1D">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w:t>
      </w:r>
      <w:r>
        <w:rPr>
          <w:rFonts w:hint="eastAsia" w:ascii="宋体" w:hAnsi="宋体" w:cs="宋体"/>
          <w:b/>
          <w:bCs/>
          <w:color w:val="auto"/>
          <w:sz w:val="24"/>
          <w:szCs w:val="24"/>
          <w:lang w:eastAsia="zh-CN"/>
        </w:rPr>
        <w:t>）</w:t>
      </w:r>
      <w:r>
        <w:rPr>
          <w:rFonts w:hint="eastAsia" w:ascii="宋体" w:hAnsi="宋体" w:eastAsia="宋体" w:cs="宋体"/>
          <w:bCs/>
          <w:sz w:val="24"/>
          <w:szCs w:val="24"/>
        </w:rPr>
        <w:t>2.2.</w:t>
      </w:r>
      <w:r>
        <w:rPr>
          <w:rFonts w:hint="eastAsia" w:ascii="宋体" w:hAnsi="宋体" w:eastAsia="宋体" w:cs="宋体"/>
          <w:sz w:val="24"/>
          <w:szCs w:val="24"/>
        </w:rPr>
        <w:t>5 通讯响应时间：≤5ms；</w:t>
      </w:r>
    </w:p>
    <w:p w14:paraId="1E94363C">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评审指标16</w:t>
      </w:r>
      <w:r>
        <w:rPr>
          <w:rFonts w:hint="eastAsia" w:ascii="宋体" w:hAnsi="宋体" w:cs="宋体"/>
          <w:b/>
          <w:bCs/>
          <w:color w:val="auto"/>
          <w:sz w:val="24"/>
          <w:szCs w:val="24"/>
          <w:lang w:eastAsia="zh-CN"/>
        </w:rPr>
        <w:t>）</w:t>
      </w:r>
      <w:r>
        <w:rPr>
          <w:rFonts w:hint="eastAsia" w:ascii="宋体" w:hAnsi="宋体" w:eastAsia="宋体" w:cs="宋体"/>
          <w:bCs/>
          <w:sz w:val="24"/>
          <w:szCs w:val="24"/>
        </w:rPr>
        <w:t>2.2.</w:t>
      </w:r>
      <w:r>
        <w:rPr>
          <w:rFonts w:hint="eastAsia" w:ascii="宋体" w:hAnsi="宋体" w:eastAsia="宋体" w:cs="宋体"/>
          <w:sz w:val="24"/>
          <w:szCs w:val="24"/>
        </w:rPr>
        <w:t>6 支持RS232、LAN通讯控制</w:t>
      </w:r>
    </w:p>
    <w:p w14:paraId="36F16873">
      <w:pPr>
        <w:autoSpaceDE w:val="0"/>
        <w:autoSpaceDN w:val="0"/>
        <w:spacing w:line="360" w:lineRule="auto"/>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评审指标17</w:t>
      </w:r>
      <w:r>
        <w:rPr>
          <w:rFonts w:hint="eastAsia" w:ascii="宋体" w:hAnsi="宋体" w:cs="宋体"/>
          <w:b/>
          <w:bCs/>
          <w:color w:val="auto"/>
          <w:sz w:val="24"/>
          <w:szCs w:val="24"/>
          <w:lang w:eastAsia="zh-CN"/>
        </w:rPr>
        <w:t>）</w:t>
      </w:r>
      <w:r>
        <w:rPr>
          <w:rFonts w:hint="eastAsia" w:ascii="宋体" w:hAnsi="宋体" w:eastAsia="宋体" w:cs="宋体"/>
          <w:bCs/>
          <w:sz w:val="24"/>
          <w:szCs w:val="24"/>
        </w:rPr>
        <w:t>2.2.</w:t>
      </w:r>
      <w:r>
        <w:rPr>
          <w:rFonts w:hint="eastAsia" w:ascii="宋体" w:hAnsi="宋体" w:eastAsia="宋体" w:cs="宋体"/>
          <w:sz w:val="24"/>
          <w:szCs w:val="24"/>
        </w:rPr>
        <w:t>7 回显精度 (DC)： 0.02%+0.004%FS。</w:t>
      </w:r>
    </w:p>
    <w:p w14:paraId="60777419">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2.3 高精度电压源</w:t>
      </w:r>
    </w:p>
    <w:p w14:paraId="61ADBC18">
      <w:pPr>
        <w:pStyle w:val="14"/>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2.3.</w:t>
      </w:r>
      <w:r>
        <w:rPr>
          <w:rFonts w:ascii="宋体" w:hAnsi="宋体" w:eastAsia="宋体" w:cs="宋体"/>
          <w:sz w:val="24"/>
          <w:szCs w:val="24"/>
        </w:rPr>
        <w:t>1</w:t>
      </w:r>
      <w:r>
        <w:rPr>
          <w:rFonts w:ascii="宋体" w:hAnsi="宋体" w:eastAsia="宋体" w:cs="宋体"/>
          <w:sz w:val="24"/>
          <w:szCs w:val="24"/>
          <w:lang w:eastAsia="zh-CN"/>
        </w:rPr>
        <w:t xml:space="preserve"> </w:t>
      </w:r>
      <w:r>
        <w:rPr>
          <w:rFonts w:ascii="宋体" w:hAnsi="宋体" w:eastAsia="宋体" w:cs="宋体"/>
          <w:sz w:val="24"/>
          <w:szCs w:val="24"/>
        </w:rPr>
        <w:t>电压范围：-2500V~2500V；</w:t>
      </w:r>
    </w:p>
    <w:p w14:paraId="6115DCD4">
      <w:pPr>
        <w:pStyle w:val="14"/>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2.3.</w:t>
      </w:r>
      <w:r>
        <w:rPr>
          <w:rFonts w:ascii="宋体" w:hAnsi="宋体" w:eastAsia="宋体" w:cs="宋体"/>
          <w:sz w:val="24"/>
          <w:szCs w:val="24"/>
        </w:rPr>
        <w:t>2</w:t>
      </w:r>
      <w:r>
        <w:rPr>
          <w:rFonts w:ascii="宋体" w:hAnsi="宋体" w:eastAsia="宋体" w:cs="宋体"/>
          <w:sz w:val="24"/>
          <w:szCs w:val="24"/>
          <w:lang w:eastAsia="zh-CN"/>
        </w:rPr>
        <w:t xml:space="preserve"> </w:t>
      </w:r>
      <w:r>
        <w:rPr>
          <w:rFonts w:ascii="宋体" w:hAnsi="宋体" w:eastAsia="宋体" w:cs="宋体"/>
          <w:sz w:val="24"/>
          <w:szCs w:val="24"/>
        </w:rPr>
        <w:t>电压精度：0.01%+0.05%F.S.；</w:t>
      </w:r>
    </w:p>
    <w:p w14:paraId="1EC59160">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评审指标18</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电压纹波噪声：≤3mVrms；</w:t>
      </w:r>
    </w:p>
    <w:p w14:paraId="1C66D9FB">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评审指标19</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电源调整率（电压）：≤0.01%；</w:t>
      </w:r>
    </w:p>
    <w:p w14:paraId="30C53E50">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评审指标20</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5</w:t>
      </w:r>
      <w:r>
        <w:rPr>
          <w:rFonts w:ascii="宋体" w:hAnsi="宋体" w:eastAsia="宋体" w:cs="宋体"/>
          <w:sz w:val="24"/>
          <w:szCs w:val="24"/>
          <w:lang w:eastAsia="zh-CN"/>
        </w:rPr>
        <w:t xml:space="preserve"> </w:t>
      </w:r>
      <w:r>
        <w:rPr>
          <w:rFonts w:ascii="宋体" w:hAnsi="宋体" w:eastAsia="宋体" w:cs="宋体"/>
          <w:sz w:val="24"/>
          <w:szCs w:val="24"/>
        </w:rPr>
        <w:t>负载调整率（电压）：≤0.01%；</w:t>
      </w:r>
    </w:p>
    <w:p w14:paraId="19F44B85">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评审指标21</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6</w:t>
      </w:r>
      <w:r>
        <w:rPr>
          <w:rFonts w:ascii="宋体" w:hAnsi="宋体" w:eastAsia="宋体" w:cs="宋体"/>
          <w:sz w:val="24"/>
          <w:szCs w:val="24"/>
          <w:lang w:eastAsia="zh-CN"/>
        </w:rPr>
        <w:t xml:space="preserve"> </w:t>
      </w:r>
      <w:r>
        <w:rPr>
          <w:rFonts w:ascii="宋体" w:hAnsi="宋体" w:eastAsia="宋体" w:cs="宋体"/>
          <w:sz w:val="24"/>
          <w:szCs w:val="24"/>
        </w:rPr>
        <w:t>输出电压建立时间：≤3s；</w:t>
      </w:r>
    </w:p>
    <w:p w14:paraId="4C01F998">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评审指标22</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7</w:t>
      </w:r>
      <w:r>
        <w:rPr>
          <w:rFonts w:ascii="宋体" w:hAnsi="宋体" w:eastAsia="宋体" w:cs="宋体"/>
          <w:sz w:val="24"/>
          <w:szCs w:val="24"/>
          <w:lang w:eastAsia="zh-CN"/>
        </w:rPr>
        <w:t xml:space="preserve"> </w:t>
      </w:r>
      <w:r>
        <w:rPr>
          <w:rFonts w:ascii="宋体" w:hAnsi="宋体" w:eastAsia="宋体" w:cs="宋体"/>
          <w:sz w:val="24"/>
          <w:szCs w:val="24"/>
        </w:rPr>
        <w:t>通讯响应时间：≤2ms；</w:t>
      </w:r>
    </w:p>
    <w:p w14:paraId="02D1129D">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评审指标23</w:t>
      </w:r>
      <w:r>
        <w:rPr>
          <w:rFonts w:hint="eastAsia" w:ascii="宋体" w:hAnsi="宋体" w:cs="宋体"/>
          <w:b/>
          <w:bCs/>
          <w:color w:val="auto"/>
          <w:sz w:val="24"/>
          <w:szCs w:val="24"/>
          <w:lang w:eastAsia="zh-CN"/>
        </w:rPr>
        <w:t>）</w:t>
      </w:r>
      <w:r>
        <w:rPr>
          <w:rFonts w:ascii="宋体" w:hAnsi="宋体" w:eastAsia="宋体" w:cs="宋体"/>
          <w:sz w:val="24"/>
          <w:szCs w:val="24"/>
          <w:lang w:eastAsia="zh-CN"/>
        </w:rPr>
        <w:t>2.3.</w:t>
      </w:r>
      <w:r>
        <w:rPr>
          <w:rFonts w:ascii="宋体" w:hAnsi="宋体" w:eastAsia="宋体" w:cs="宋体"/>
          <w:sz w:val="24"/>
          <w:szCs w:val="24"/>
        </w:rPr>
        <w:t>8</w:t>
      </w:r>
      <w:r>
        <w:rPr>
          <w:rFonts w:ascii="宋体" w:hAnsi="宋体" w:eastAsia="宋体" w:cs="宋体"/>
          <w:sz w:val="24"/>
          <w:szCs w:val="24"/>
          <w:lang w:eastAsia="zh-CN"/>
        </w:rPr>
        <w:t xml:space="preserve"> </w:t>
      </w:r>
      <w:r>
        <w:rPr>
          <w:rFonts w:ascii="宋体" w:hAnsi="宋体" w:eastAsia="宋体" w:cs="宋体"/>
          <w:sz w:val="24"/>
          <w:szCs w:val="24"/>
        </w:rPr>
        <w:t>通信支持LAN、RS232，支持SCPI指令</w:t>
      </w:r>
    </w:p>
    <w:p w14:paraId="58D1EAAF">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2.4 单体电芯温度仿真模块</w:t>
      </w:r>
    </w:p>
    <w:p w14:paraId="08250F93">
      <w:pPr>
        <w:pStyle w:val="14"/>
        <w:spacing w:line="360" w:lineRule="auto"/>
        <w:jc w:val="both"/>
        <w:rPr>
          <w:rFonts w:hint="default" w:ascii="宋体" w:hAnsi="宋体" w:eastAsia="宋体" w:cs="宋体"/>
          <w:sz w:val="24"/>
          <w:szCs w:val="24"/>
          <w:highlight w:val="none"/>
        </w:rPr>
      </w:pPr>
      <w:r>
        <w:rPr>
          <w:rFonts w:ascii="宋体" w:hAnsi="宋体" w:eastAsia="宋体" w:cs="宋体"/>
          <w:sz w:val="24"/>
          <w:szCs w:val="24"/>
          <w:highlight w:val="none"/>
        </w:rPr>
        <w:t>▲</w:t>
      </w:r>
      <w:r>
        <w:rPr>
          <w:rFonts w:ascii="宋体" w:hAnsi="宋体" w:eastAsia="宋体" w:cs="宋体"/>
          <w:sz w:val="24"/>
          <w:szCs w:val="24"/>
          <w:highlight w:val="none"/>
          <w:lang w:eastAsia="zh-CN"/>
        </w:rPr>
        <w:t>2.4.</w:t>
      </w:r>
      <w:r>
        <w:rPr>
          <w:rFonts w:ascii="宋体" w:hAnsi="宋体" w:eastAsia="宋体" w:cs="宋体"/>
          <w:sz w:val="24"/>
          <w:szCs w:val="24"/>
          <w:highlight w:val="none"/>
        </w:rPr>
        <w:t>1</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通道数：不低于122CH,并支持后续扩展到更多通道。</w:t>
      </w:r>
    </w:p>
    <w:p w14:paraId="10D31F45">
      <w:pPr>
        <w:pStyle w:val="14"/>
        <w:spacing w:line="360" w:lineRule="auto"/>
        <w:jc w:val="both"/>
        <w:rPr>
          <w:rFonts w:hint="default"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评审指标24</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2.4.</w:t>
      </w:r>
      <w:r>
        <w:rPr>
          <w:rFonts w:ascii="宋体" w:hAnsi="宋体" w:eastAsia="宋体" w:cs="宋体"/>
          <w:sz w:val="24"/>
          <w:szCs w:val="24"/>
          <w:highlight w:val="none"/>
        </w:rPr>
        <w:t>2</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电阻范围：0Ω（短路）~1.11MΩ。</w:t>
      </w:r>
    </w:p>
    <w:p w14:paraId="0E635BA2">
      <w:pPr>
        <w:pStyle w:val="14"/>
        <w:spacing w:line="360" w:lineRule="auto"/>
        <w:jc w:val="both"/>
        <w:rPr>
          <w:rFonts w:hint="default"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评审指标25</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2.4.</w:t>
      </w:r>
      <w:r>
        <w:rPr>
          <w:rFonts w:ascii="宋体" w:hAnsi="宋体" w:eastAsia="宋体" w:cs="宋体"/>
          <w:sz w:val="24"/>
          <w:szCs w:val="24"/>
          <w:highlight w:val="none"/>
        </w:rPr>
        <w:t>3</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电阻精度：≤0.1%+Rr。</w:t>
      </w:r>
    </w:p>
    <w:p w14:paraId="14BF06DC">
      <w:pPr>
        <w:pStyle w:val="14"/>
        <w:spacing w:line="360" w:lineRule="auto"/>
        <w:jc w:val="both"/>
        <w:rPr>
          <w:rFonts w:hint="default"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评审指标26</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2.4.</w:t>
      </w:r>
      <w:r>
        <w:rPr>
          <w:rFonts w:ascii="宋体" w:hAnsi="宋体" w:eastAsia="宋体" w:cs="宋体"/>
          <w:sz w:val="24"/>
          <w:szCs w:val="24"/>
          <w:highlight w:val="none"/>
        </w:rPr>
        <w:t>4</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电阻分辨率：0.5Ω</w:t>
      </w:r>
      <w:r>
        <w:rPr>
          <w:rFonts w:ascii="Arial" w:hAnsi="Arial" w:eastAsia="宋体" w:cs="Arial"/>
          <w:sz w:val="24"/>
          <w:szCs w:val="24"/>
          <w:highlight w:val="none"/>
        </w:rPr>
        <w:t>~</w:t>
      </w:r>
      <w:r>
        <w:rPr>
          <w:rFonts w:ascii="宋体" w:hAnsi="宋体" w:eastAsia="宋体" w:cs="宋体"/>
          <w:sz w:val="24"/>
          <w:szCs w:val="24"/>
          <w:highlight w:val="none"/>
        </w:rPr>
        <w:t>2Ω。</w:t>
      </w:r>
    </w:p>
    <w:p w14:paraId="7F76D174">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评审指标27</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2.4.</w:t>
      </w:r>
      <w:r>
        <w:rPr>
          <w:rFonts w:ascii="宋体" w:hAnsi="宋体" w:eastAsia="宋体" w:cs="宋体"/>
          <w:sz w:val="24"/>
          <w:szCs w:val="24"/>
          <w:highlight w:val="none"/>
        </w:rPr>
        <w:t>5</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阻值切换速度：</w:t>
      </w:r>
      <w:r>
        <w:rPr>
          <w:rFonts w:hint="eastAsia" w:ascii="宋体" w:hAnsi="宋体" w:eastAsia="宋体" w:cs="宋体"/>
          <w:sz w:val="24"/>
          <w:szCs w:val="24"/>
          <w:highlight w:val="none"/>
        </w:rPr>
        <w:t>不小于2000次/秒</w:t>
      </w:r>
      <w:r>
        <w:rPr>
          <w:rFonts w:ascii="宋体" w:hAnsi="宋体" w:eastAsia="宋体" w:cs="宋体"/>
          <w:sz w:val="24"/>
          <w:szCs w:val="24"/>
        </w:rPr>
        <w:t>。</w:t>
      </w:r>
    </w:p>
    <w:p w14:paraId="0C4E3D70">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评审指标28</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6</w:t>
      </w:r>
      <w:r>
        <w:rPr>
          <w:rFonts w:ascii="宋体" w:hAnsi="宋体" w:eastAsia="宋体" w:cs="宋体"/>
          <w:sz w:val="24"/>
          <w:szCs w:val="24"/>
          <w:lang w:eastAsia="zh-CN"/>
        </w:rPr>
        <w:t xml:space="preserve"> </w:t>
      </w:r>
      <w:r>
        <w:rPr>
          <w:rFonts w:ascii="宋体" w:hAnsi="宋体" w:eastAsia="宋体" w:cs="宋体"/>
          <w:sz w:val="24"/>
          <w:szCs w:val="24"/>
        </w:rPr>
        <w:t>最大工作电压：125VAC, 60VDC</w:t>
      </w:r>
    </w:p>
    <w:p w14:paraId="3097B38D">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评审指标29</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7</w:t>
      </w:r>
      <w:r>
        <w:rPr>
          <w:rFonts w:ascii="宋体" w:hAnsi="宋体" w:eastAsia="宋体" w:cs="宋体"/>
          <w:sz w:val="24"/>
          <w:szCs w:val="24"/>
          <w:lang w:eastAsia="zh-CN"/>
        </w:rPr>
        <w:t xml:space="preserve"> </w:t>
      </w:r>
      <w:r>
        <w:rPr>
          <w:rFonts w:ascii="宋体" w:hAnsi="宋体" w:eastAsia="宋体" w:cs="宋体"/>
          <w:sz w:val="24"/>
          <w:szCs w:val="24"/>
        </w:rPr>
        <w:t>具备编程功能，可通过上位机进行控制。</w:t>
      </w:r>
    </w:p>
    <w:p w14:paraId="46CFF519">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评审指标30</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8</w:t>
      </w:r>
      <w:r>
        <w:rPr>
          <w:rFonts w:ascii="宋体" w:hAnsi="宋体" w:eastAsia="宋体" w:cs="宋体"/>
          <w:sz w:val="24"/>
          <w:szCs w:val="24"/>
          <w:lang w:eastAsia="zh-CN"/>
        </w:rPr>
        <w:t xml:space="preserve"> </w:t>
      </w:r>
      <w:r>
        <w:rPr>
          <w:rFonts w:ascii="宋体" w:hAnsi="宋体" w:eastAsia="宋体" w:cs="宋体"/>
          <w:sz w:val="24"/>
          <w:szCs w:val="24"/>
        </w:rPr>
        <w:t>支持LAN通讯单独控制使用</w:t>
      </w:r>
    </w:p>
    <w:p w14:paraId="32FAA7DC">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评审指标31</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9</w:t>
      </w:r>
      <w:r>
        <w:rPr>
          <w:rFonts w:ascii="宋体" w:hAnsi="宋体" w:eastAsia="宋体" w:cs="宋体"/>
          <w:sz w:val="24"/>
          <w:szCs w:val="24"/>
          <w:lang w:eastAsia="zh-CN"/>
        </w:rPr>
        <w:t xml:space="preserve"> </w:t>
      </w:r>
      <w:r>
        <w:rPr>
          <w:rFonts w:ascii="宋体" w:hAnsi="宋体" w:eastAsia="宋体" w:cs="宋体"/>
          <w:sz w:val="24"/>
          <w:szCs w:val="24"/>
        </w:rPr>
        <w:t>提供丰富的Labview、C#上位机开发例程</w:t>
      </w:r>
    </w:p>
    <w:p w14:paraId="55066C5A">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评审指标32</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10</w:t>
      </w:r>
      <w:r>
        <w:rPr>
          <w:rFonts w:ascii="宋体" w:hAnsi="宋体" w:eastAsia="宋体" w:cs="宋体"/>
          <w:sz w:val="24"/>
          <w:szCs w:val="24"/>
          <w:lang w:eastAsia="zh-CN"/>
        </w:rPr>
        <w:t xml:space="preserve"> </w:t>
      </w:r>
      <w:r>
        <w:rPr>
          <w:rFonts w:ascii="宋体" w:hAnsi="宋体" w:eastAsia="宋体" w:cs="宋体"/>
          <w:sz w:val="24"/>
          <w:szCs w:val="24"/>
        </w:rPr>
        <w:t>提供DLL驱动文件，可用于C++、.NET、VB、Delphi等开发语言</w:t>
      </w:r>
    </w:p>
    <w:p w14:paraId="727792D5">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评审指标33</w:t>
      </w:r>
      <w:r>
        <w:rPr>
          <w:rFonts w:hint="eastAsia" w:ascii="宋体" w:hAnsi="宋体" w:cs="宋体"/>
          <w:b/>
          <w:bCs/>
          <w:color w:val="auto"/>
          <w:sz w:val="24"/>
          <w:szCs w:val="24"/>
          <w:lang w:eastAsia="zh-CN"/>
        </w:rPr>
        <w:t>）</w:t>
      </w:r>
      <w:r>
        <w:rPr>
          <w:rFonts w:ascii="宋体" w:hAnsi="宋体" w:eastAsia="宋体" w:cs="宋体"/>
          <w:sz w:val="24"/>
          <w:szCs w:val="24"/>
          <w:lang w:eastAsia="zh-CN"/>
        </w:rPr>
        <w:t>2.4.</w:t>
      </w:r>
      <w:r>
        <w:rPr>
          <w:rFonts w:ascii="宋体" w:hAnsi="宋体" w:eastAsia="宋体" w:cs="宋体"/>
          <w:sz w:val="24"/>
          <w:szCs w:val="24"/>
        </w:rPr>
        <w:t>11</w:t>
      </w:r>
      <w:r>
        <w:rPr>
          <w:rFonts w:ascii="宋体" w:hAnsi="宋体" w:eastAsia="宋体" w:cs="宋体"/>
          <w:sz w:val="24"/>
          <w:szCs w:val="24"/>
          <w:lang w:eastAsia="zh-CN"/>
        </w:rPr>
        <w:t xml:space="preserve"> </w:t>
      </w:r>
      <w:r>
        <w:rPr>
          <w:rFonts w:ascii="宋体" w:hAnsi="宋体" w:eastAsia="宋体" w:cs="宋体"/>
          <w:sz w:val="24"/>
          <w:szCs w:val="24"/>
        </w:rPr>
        <w:t>支持Modbus-RTU、SCPI协议</w:t>
      </w:r>
    </w:p>
    <w:p w14:paraId="37366727">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2.5 绝缘电阻仿真阵列</w:t>
      </w:r>
    </w:p>
    <w:p w14:paraId="3D2020E7">
      <w:pPr>
        <w:pStyle w:val="14"/>
        <w:spacing w:line="360" w:lineRule="auto"/>
        <w:rPr>
          <w:rFonts w:hint="default"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评审指标34</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2.5.</w:t>
      </w:r>
      <w:r>
        <w:rPr>
          <w:rFonts w:ascii="宋体" w:hAnsi="宋体" w:eastAsia="宋体" w:cs="宋体"/>
          <w:sz w:val="24"/>
          <w:szCs w:val="24"/>
          <w:highlight w:val="none"/>
        </w:rPr>
        <w:t>1</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设定范围：50Ω~61MΩ；</w:t>
      </w:r>
    </w:p>
    <w:p w14:paraId="149B20AD">
      <w:pPr>
        <w:pStyle w:val="14"/>
        <w:spacing w:line="360" w:lineRule="auto"/>
        <w:rPr>
          <w:rFonts w:hint="default" w:ascii="宋体" w:hAnsi="宋体" w:eastAsia="宋体" w:cs="宋体"/>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评审指标35</w:t>
      </w:r>
      <w:r>
        <w:rPr>
          <w:rFonts w:hint="eastAsia" w:ascii="宋体" w:hAnsi="宋体" w:cs="宋体"/>
          <w:b/>
          <w:bCs/>
          <w:color w:val="auto"/>
          <w:sz w:val="24"/>
          <w:szCs w:val="24"/>
          <w:lang w:eastAsia="zh-CN"/>
        </w:rPr>
        <w:t>）</w:t>
      </w:r>
      <w:r>
        <w:rPr>
          <w:rFonts w:ascii="宋体" w:hAnsi="宋体" w:eastAsia="宋体" w:cs="宋体"/>
          <w:sz w:val="24"/>
          <w:szCs w:val="24"/>
          <w:highlight w:val="none"/>
          <w:lang w:eastAsia="zh-CN"/>
        </w:rPr>
        <w:t>2.5.</w:t>
      </w:r>
      <w:r>
        <w:rPr>
          <w:rFonts w:ascii="宋体" w:hAnsi="宋体" w:eastAsia="宋体" w:cs="宋体"/>
          <w:sz w:val="24"/>
          <w:szCs w:val="24"/>
          <w:highlight w:val="none"/>
        </w:rPr>
        <w:t>2</w:t>
      </w:r>
      <w:r>
        <w:rPr>
          <w:rFonts w:ascii="宋体" w:hAnsi="宋体" w:eastAsia="宋体" w:cs="宋体"/>
          <w:sz w:val="24"/>
          <w:szCs w:val="24"/>
          <w:highlight w:val="none"/>
          <w:lang w:eastAsia="zh-CN"/>
        </w:rPr>
        <w:t xml:space="preserve"> </w:t>
      </w:r>
      <w:r>
        <w:rPr>
          <w:rFonts w:ascii="宋体" w:hAnsi="宋体" w:eastAsia="宋体" w:cs="宋体"/>
          <w:sz w:val="24"/>
          <w:szCs w:val="24"/>
          <w:highlight w:val="none"/>
        </w:rPr>
        <w:t>调整步径：50Ω</w:t>
      </w:r>
      <w:r>
        <w:rPr>
          <w:rFonts w:ascii="Arial" w:hAnsi="Arial" w:eastAsia="宋体" w:cs="Arial"/>
          <w:sz w:val="24"/>
          <w:szCs w:val="24"/>
          <w:highlight w:val="none"/>
        </w:rPr>
        <w:t>~</w:t>
      </w:r>
      <w:r>
        <w:rPr>
          <w:rFonts w:ascii="宋体" w:hAnsi="宋体" w:eastAsia="宋体" w:cs="宋体"/>
          <w:sz w:val="24"/>
          <w:szCs w:val="24"/>
          <w:highlight w:val="none"/>
        </w:rPr>
        <w:t>100Ω；</w:t>
      </w:r>
    </w:p>
    <w:p w14:paraId="4A9DA72F">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评审指标36</w:t>
      </w:r>
      <w:r>
        <w:rPr>
          <w:rFonts w:hint="eastAsia" w:ascii="宋体" w:hAnsi="宋体" w:cs="宋体"/>
          <w:b/>
          <w:bCs/>
          <w:color w:val="auto"/>
          <w:sz w:val="24"/>
          <w:szCs w:val="24"/>
          <w:lang w:eastAsia="zh-CN"/>
        </w:rPr>
        <w:t>）</w:t>
      </w:r>
      <w:r>
        <w:rPr>
          <w:rFonts w:ascii="宋体" w:hAnsi="宋体" w:eastAsia="宋体" w:cs="宋体"/>
          <w:sz w:val="24"/>
          <w:szCs w:val="24"/>
          <w:lang w:eastAsia="zh-CN"/>
        </w:rPr>
        <w:t>2.5.</w:t>
      </w:r>
      <w:r>
        <w:rPr>
          <w:rFonts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精度：≤11MΩ：±1%+10Ω，200ppm；</w:t>
      </w:r>
      <w:r>
        <w:rPr>
          <w:rFonts w:ascii="宋体" w:hAnsi="宋体" w:eastAsia="宋体" w:cs="宋体"/>
          <w:sz w:val="24"/>
          <w:szCs w:val="24"/>
          <w:lang w:eastAsia="zh-CN"/>
        </w:rPr>
        <w:t xml:space="preserve"> </w:t>
      </w:r>
      <w:r>
        <w:rPr>
          <w:rFonts w:ascii="宋体" w:hAnsi="宋体" w:eastAsia="宋体" w:cs="宋体"/>
          <w:sz w:val="24"/>
          <w:szCs w:val="24"/>
        </w:rPr>
        <w:t>&gt;11MΩ：±5%+10Ω；</w:t>
      </w:r>
    </w:p>
    <w:p w14:paraId="1D238A85">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评审指标37</w:t>
      </w:r>
      <w:r>
        <w:rPr>
          <w:rFonts w:hint="eastAsia" w:ascii="宋体" w:hAnsi="宋体" w:cs="宋体"/>
          <w:b/>
          <w:bCs/>
          <w:color w:val="auto"/>
          <w:sz w:val="24"/>
          <w:szCs w:val="24"/>
          <w:lang w:eastAsia="zh-CN"/>
        </w:rPr>
        <w:t>）</w:t>
      </w:r>
      <w:r>
        <w:rPr>
          <w:rFonts w:ascii="宋体" w:hAnsi="宋体" w:eastAsia="宋体" w:cs="宋体"/>
          <w:sz w:val="24"/>
          <w:szCs w:val="24"/>
          <w:lang w:eastAsia="zh-CN"/>
        </w:rPr>
        <w:t>2.5.</w:t>
      </w:r>
      <w:r>
        <w:rPr>
          <w:rFonts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耐压：2000V。</w:t>
      </w:r>
    </w:p>
    <w:p w14:paraId="7785DEFD">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评审指标38</w:t>
      </w:r>
      <w:r>
        <w:rPr>
          <w:rFonts w:hint="eastAsia" w:ascii="宋体" w:hAnsi="宋体" w:cs="宋体"/>
          <w:b/>
          <w:bCs/>
          <w:color w:val="auto"/>
          <w:sz w:val="24"/>
          <w:szCs w:val="24"/>
          <w:lang w:eastAsia="zh-CN"/>
        </w:rPr>
        <w:t>）</w:t>
      </w:r>
      <w:r>
        <w:rPr>
          <w:rFonts w:ascii="宋体" w:hAnsi="宋体" w:eastAsia="宋体" w:cs="宋体"/>
          <w:sz w:val="24"/>
          <w:szCs w:val="24"/>
          <w:lang w:eastAsia="zh-CN"/>
        </w:rPr>
        <w:t>2.5.</w:t>
      </w:r>
      <w:r>
        <w:rPr>
          <w:rFonts w:ascii="宋体" w:hAnsi="宋体" w:eastAsia="宋体" w:cs="宋体"/>
          <w:sz w:val="24"/>
          <w:szCs w:val="24"/>
        </w:rPr>
        <w:t>5</w:t>
      </w:r>
      <w:r>
        <w:rPr>
          <w:rFonts w:ascii="宋体" w:hAnsi="宋体" w:eastAsia="宋体" w:cs="宋体"/>
          <w:sz w:val="24"/>
          <w:szCs w:val="24"/>
          <w:lang w:eastAsia="zh-CN"/>
        </w:rPr>
        <w:t xml:space="preserve"> </w:t>
      </w:r>
      <w:r>
        <w:rPr>
          <w:rFonts w:ascii="宋体" w:hAnsi="宋体" w:eastAsia="宋体" w:cs="宋体"/>
          <w:sz w:val="24"/>
          <w:szCs w:val="24"/>
        </w:rPr>
        <w:t>支持LAN接口控制阻值可调，模拟正负极与电池簇外壳之间的绝缘阻值。</w:t>
      </w:r>
    </w:p>
    <w:p w14:paraId="58B54CA5">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2.6 BMS供电电源</w:t>
      </w:r>
    </w:p>
    <w:p w14:paraId="3E4A400A">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评审指标39</w:t>
      </w:r>
      <w:r>
        <w:rPr>
          <w:rFonts w:hint="eastAsia" w:ascii="宋体" w:hAnsi="宋体" w:cs="宋体"/>
          <w:b/>
          <w:bCs/>
          <w:color w:val="auto"/>
          <w:sz w:val="24"/>
          <w:szCs w:val="24"/>
          <w:lang w:eastAsia="zh-CN"/>
        </w:rPr>
        <w:t>）</w:t>
      </w:r>
      <w:r>
        <w:rPr>
          <w:rFonts w:ascii="宋体" w:hAnsi="宋体" w:eastAsia="宋体" w:cs="宋体"/>
          <w:sz w:val="24"/>
          <w:szCs w:val="24"/>
          <w:lang w:eastAsia="zh-CN"/>
        </w:rPr>
        <w:t>2.6.</w:t>
      </w:r>
      <w:r>
        <w:rPr>
          <w:rFonts w:ascii="宋体" w:hAnsi="宋体" w:eastAsia="宋体" w:cs="宋体"/>
          <w:sz w:val="24"/>
          <w:szCs w:val="24"/>
        </w:rPr>
        <w:t>1</w:t>
      </w:r>
      <w:r>
        <w:rPr>
          <w:rFonts w:ascii="宋体" w:hAnsi="宋体" w:eastAsia="宋体" w:cs="宋体"/>
          <w:sz w:val="24"/>
          <w:szCs w:val="24"/>
          <w:lang w:eastAsia="zh-CN"/>
        </w:rPr>
        <w:t xml:space="preserve"> </w:t>
      </w:r>
      <w:r>
        <w:rPr>
          <w:rFonts w:ascii="宋体" w:hAnsi="宋体" w:eastAsia="宋体" w:cs="宋体"/>
          <w:sz w:val="24"/>
          <w:szCs w:val="24"/>
        </w:rPr>
        <w:t>输出规格：</w:t>
      </w:r>
      <w:bookmarkStart w:id="21" w:name="OLE_LINK4"/>
      <w:r>
        <w:rPr>
          <w:rFonts w:ascii="宋体" w:hAnsi="宋体" w:eastAsia="宋体" w:cs="宋体"/>
          <w:sz w:val="24"/>
          <w:szCs w:val="24"/>
        </w:rPr>
        <w:t>0~</w:t>
      </w:r>
      <w:bookmarkEnd w:id="21"/>
      <w:r>
        <w:rPr>
          <w:rFonts w:ascii="宋体" w:hAnsi="宋体" w:eastAsia="宋体" w:cs="宋体"/>
          <w:sz w:val="24"/>
          <w:szCs w:val="24"/>
        </w:rPr>
        <w:t>40V/0~50A/0~900W；</w:t>
      </w:r>
    </w:p>
    <w:p w14:paraId="4187A144">
      <w:pPr>
        <w:pStyle w:val="14"/>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2.6.</w:t>
      </w:r>
      <w:r>
        <w:rPr>
          <w:rFonts w:ascii="宋体" w:hAnsi="宋体" w:eastAsia="宋体" w:cs="宋体"/>
          <w:sz w:val="24"/>
          <w:szCs w:val="24"/>
        </w:rPr>
        <w:t>2</w:t>
      </w:r>
      <w:r>
        <w:rPr>
          <w:rFonts w:ascii="宋体" w:hAnsi="宋体" w:eastAsia="宋体" w:cs="宋体"/>
          <w:sz w:val="24"/>
          <w:szCs w:val="24"/>
          <w:lang w:eastAsia="zh-CN"/>
        </w:rPr>
        <w:t xml:space="preserve"> </w:t>
      </w:r>
      <w:r>
        <w:rPr>
          <w:rFonts w:ascii="宋体" w:hAnsi="宋体" w:eastAsia="宋体" w:cs="宋体"/>
          <w:sz w:val="24"/>
          <w:szCs w:val="24"/>
        </w:rPr>
        <w:t>高速动态响应，电压上升下降时间≤10ms；</w:t>
      </w:r>
    </w:p>
    <w:p w14:paraId="0B427B2F">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评审指标40</w:t>
      </w:r>
      <w:r>
        <w:rPr>
          <w:rFonts w:hint="eastAsia" w:ascii="宋体" w:hAnsi="宋体" w:cs="宋体"/>
          <w:b/>
          <w:bCs/>
          <w:color w:val="auto"/>
          <w:sz w:val="24"/>
          <w:szCs w:val="24"/>
          <w:lang w:eastAsia="zh-CN"/>
        </w:rPr>
        <w:t>）</w:t>
      </w:r>
      <w:r>
        <w:rPr>
          <w:rFonts w:ascii="宋体" w:hAnsi="宋体" w:eastAsia="宋体" w:cs="宋体"/>
          <w:sz w:val="24"/>
          <w:szCs w:val="24"/>
          <w:lang w:eastAsia="zh-CN"/>
        </w:rPr>
        <w:t>2.6.</w:t>
      </w:r>
      <w:r>
        <w:rPr>
          <w:rFonts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具备电气性能反极供电测试要求；</w:t>
      </w:r>
    </w:p>
    <w:p w14:paraId="107C6683">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评审指标41</w:t>
      </w:r>
      <w:r>
        <w:rPr>
          <w:rFonts w:hint="eastAsia" w:ascii="宋体" w:hAnsi="宋体" w:cs="宋体"/>
          <w:b/>
          <w:bCs/>
          <w:color w:val="auto"/>
          <w:sz w:val="24"/>
          <w:szCs w:val="24"/>
          <w:lang w:eastAsia="zh-CN"/>
        </w:rPr>
        <w:t>）</w:t>
      </w:r>
      <w:r>
        <w:rPr>
          <w:rFonts w:ascii="宋体" w:hAnsi="宋体" w:eastAsia="宋体" w:cs="宋体"/>
          <w:sz w:val="24"/>
          <w:szCs w:val="24"/>
          <w:lang w:eastAsia="zh-CN"/>
        </w:rPr>
        <w:t>2.6.</w:t>
      </w:r>
      <w:r>
        <w:rPr>
          <w:rFonts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标配LAN/RS232/RS485/CAN通讯控制。</w:t>
      </w:r>
    </w:p>
    <w:p w14:paraId="23BFC7DC">
      <w:pPr>
        <w:pStyle w:val="14"/>
        <w:spacing w:line="360" w:lineRule="auto"/>
        <w:jc w:val="both"/>
        <w:rPr>
          <w:rFonts w:hint="default" w:ascii="宋体" w:hAnsi="宋体" w:eastAsia="宋体" w:cs="宋体"/>
          <w:b/>
          <w:sz w:val="24"/>
          <w:szCs w:val="24"/>
        </w:rPr>
      </w:pPr>
      <w:r>
        <w:rPr>
          <w:rFonts w:ascii="宋体" w:hAnsi="宋体" w:eastAsia="宋体" w:cs="宋体"/>
          <w:b/>
          <w:sz w:val="24"/>
          <w:szCs w:val="24"/>
        </w:rPr>
        <w:t>2.7 输入/输出接口及板卡供电电源</w:t>
      </w:r>
    </w:p>
    <w:p w14:paraId="0F63144C">
      <w:pPr>
        <w:pStyle w:val="14"/>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2.7.</w:t>
      </w:r>
      <w:r>
        <w:rPr>
          <w:rFonts w:ascii="宋体" w:hAnsi="宋体" w:eastAsia="宋体" w:cs="宋体"/>
          <w:sz w:val="24"/>
          <w:szCs w:val="24"/>
        </w:rPr>
        <w:t>1</w:t>
      </w:r>
      <w:r>
        <w:rPr>
          <w:rFonts w:ascii="宋体" w:hAnsi="宋体" w:eastAsia="宋体" w:cs="宋体"/>
          <w:sz w:val="24"/>
          <w:szCs w:val="24"/>
          <w:lang w:eastAsia="zh-CN"/>
        </w:rPr>
        <w:t xml:space="preserve"> </w:t>
      </w:r>
      <w:r>
        <w:rPr>
          <w:rFonts w:ascii="宋体" w:hAnsi="宋体" w:eastAsia="宋体" w:cs="宋体"/>
          <w:sz w:val="24"/>
          <w:szCs w:val="24"/>
        </w:rPr>
        <w:t>输出规格：60V/3A；可以通过串联达120V/可以通过并联达到6A；</w:t>
      </w:r>
    </w:p>
    <w:p w14:paraId="670E6520">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评审指标41</w:t>
      </w:r>
      <w:r>
        <w:rPr>
          <w:rFonts w:hint="eastAsia" w:ascii="宋体" w:hAnsi="宋体" w:cs="宋体"/>
          <w:b/>
          <w:bCs/>
          <w:color w:val="auto"/>
          <w:sz w:val="24"/>
          <w:szCs w:val="24"/>
          <w:lang w:eastAsia="zh-CN"/>
        </w:rPr>
        <w:t>）</w:t>
      </w:r>
      <w:r>
        <w:rPr>
          <w:rFonts w:ascii="宋体" w:hAnsi="宋体" w:eastAsia="宋体" w:cs="宋体"/>
          <w:sz w:val="24"/>
          <w:szCs w:val="24"/>
          <w:lang w:eastAsia="zh-CN"/>
        </w:rPr>
        <w:t>2.7.</w:t>
      </w:r>
      <w:r>
        <w:rPr>
          <w:rFonts w:ascii="宋体" w:hAnsi="宋体" w:eastAsia="宋体" w:cs="宋体"/>
          <w:sz w:val="24"/>
          <w:szCs w:val="24"/>
        </w:rPr>
        <w:t>2</w:t>
      </w:r>
      <w:r>
        <w:rPr>
          <w:rFonts w:ascii="宋体" w:hAnsi="宋体" w:eastAsia="宋体" w:cs="宋体"/>
          <w:sz w:val="24"/>
          <w:szCs w:val="24"/>
          <w:lang w:eastAsia="zh-CN"/>
        </w:rPr>
        <w:t xml:space="preserve"> </w:t>
      </w:r>
      <w:r>
        <w:rPr>
          <w:rFonts w:ascii="宋体" w:hAnsi="宋体" w:eastAsia="宋体" w:cs="宋体"/>
          <w:sz w:val="24"/>
          <w:szCs w:val="24"/>
        </w:rPr>
        <w:t>纯线性电源，低纹波噪声；支持前后接线，上架更方便</w:t>
      </w:r>
    </w:p>
    <w:p w14:paraId="2E4A5B56">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评审指标42</w:t>
      </w:r>
      <w:r>
        <w:rPr>
          <w:rFonts w:hint="eastAsia" w:ascii="宋体" w:hAnsi="宋体" w:cs="宋体"/>
          <w:b/>
          <w:bCs/>
          <w:color w:val="auto"/>
          <w:sz w:val="24"/>
          <w:szCs w:val="24"/>
          <w:lang w:eastAsia="zh-CN"/>
        </w:rPr>
        <w:t>）</w:t>
      </w:r>
      <w:r>
        <w:rPr>
          <w:rFonts w:ascii="宋体" w:hAnsi="宋体" w:eastAsia="宋体" w:cs="宋体"/>
          <w:sz w:val="24"/>
          <w:szCs w:val="24"/>
          <w:lang w:eastAsia="zh-CN"/>
        </w:rPr>
        <w:t>2.7.</w:t>
      </w:r>
      <w:r>
        <w:rPr>
          <w:rFonts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电压精度：0.02%+20mV；</w:t>
      </w:r>
    </w:p>
    <w:p w14:paraId="759EBC7E">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评审指标43</w:t>
      </w:r>
      <w:r>
        <w:rPr>
          <w:rFonts w:hint="eastAsia" w:ascii="宋体" w:hAnsi="宋体" w:cs="宋体"/>
          <w:b/>
          <w:bCs/>
          <w:color w:val="auto"/>
          <w:sz w:val="24"/>
          <w:szCs w:val="24"/>
          <w:lang w:eastAsia="zh-CN"/>
        </w:rPr>
        <w:t>）</w:t>
      </w:r>
      <w:r>
        <w:rPr>
          <w:rFonts w:ascii="宋体" w:hAnsi="宋体" w:eastAsia="宋体" w:cs="宋体"/>
          <w:sz w:val="24"/>
          <w:szCs w:val="24"/>
          <w:lang w:eastAsia="zh-CN"/>
        </w:rPr>
        <w:t>2.7.</w:t>
      </w:r>
      <w:r>
        <w:rPr>
          <w:rFonts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分辨率：0.1mV/0.1mA。</w:t>
      </w:r>
    </w:p>
    <w:p w14:paraId="65B22E33">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评审指标44</w:t>
      </w:r>
      <w:r>
        <w:rPr>
          <w:rFonts w:hint="eastAsia" w:ascii="宋体" w:hAnsi="宋体" w:cs="宋体"/>
          <w:b/>
          <w:bCs/>
          <w:color w:val="auto"/>
          <w:sz w:val="24"/>
          <w:szCs w:val="24"/>
          <w:lang w:eastAsia="zh-CN"/>
        </w:rPr>
        <w:t>）</w:t>
      </w:r>
      <w:r>
        <w:rPr>
          <w:rFonts w:ascii="宋体" w:hAnsi="宋体" w:eastAsia="宋体" w:cs="宋体"/>
          <w:sz w:val="24"/>
          <w:szCs w:val="24"/>
          <w:lang w:eastAsia="zh-CN"/>
        </w:rPr>
        <w:t>2.7.</w:t>
      </w:r>
      <w:r>
        <w:rPr>
          <w:rFonts w:ascii="宋体" w:hAnsi="宋体" w:eastAsia="宋体" w:cs="宋体"/>
          <w:sz w:val="24"/>
          <w:szCs w:val="24"/>
        </w:rPr>
        <w:t>5</w:t>
      </w:r>
      <w:r>
        <w:rPr>
          <w:rFonts w:ascii="宋体" w:hAnsi="宋体" w:eastAsia="宋体" w:cs="宋体"/>
          <w:sz w:val="24"/>
          <w:szCs w:val="24"/>
          <w:lang w:eastAsia="zh-CN"/>
        </w:rPr>
        <w:t xml:space="preserve"> </w:t>
      </w:r>
      <w:r>
        <w:rPr>
          <w:rFonts w:ascii="宋体" w:hAnsi="宋体" w:eastAsia="宋体" w:cs="宋体"/>
          <w:sz w:val="24"/>
          <w:szCs w:val="24"/>
        </w:rPr>
        <w:t>输出通道：不小于4个通道</w:t>
      </w:r>
    </w:p>
    <w:p w14:paraId="7FA34140">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评审指标45</w:t>
      </w:r>
      <w:r>
        <w:rPr>
          <w:rFonts w:hint="eastAsia" w:ascii="宋体" w:hAnsi="宋体" w:cs="宋体"/>
          <w:b/>
          <w:bCs/>
          <w:color w:val="auto"/>
          <w:sz w:val="24"/>
          <w:szCs w:val="24"/>
          <w:lang w:eastAsia="zh-CN"/>
        </w:rPr>
        <w:t>）</w:t>
      </w:r>
      <w:r>
        <w:rPr>
          <w:rFonts w:ascii="宋体" w:hAnsi="宋体" w:eastAsia="宋体" w:cs="宋体"/>
          <w:sz w:val="24"/>
          <w:szCs w:val="24"/>
          <w:lang w:eastAsia="zh-CN"/>
        </w:rPr>
        <w:t>2.7.</w:t>
      </w:r>
      <w:r>
        <w:rPr>
          <w:rFonts w:ascii="宋体" w:hAnsi="宋体" w:eastAsia="宋体" w:cs="宋体"/>
          <w:sz w:val="24"/>
          <w:szCs w:val="24"/>
        </w:rPr>
        <w:t>6</w:t>
      </w:r>
      <w:r>
        <w:rPr>
          <w:rFonts w:ascii="宋体" w:hAnsi="宋体" w:eastAsia="宋体" w:cs="宋体"/>
          <w:sz w:val="24"/>
          <w:szCs w:val="24"/>
          <w:lang w:eastAsia="zh-CN"/>
        </w:rPr>
        <w:t xml:space="preserve"> </w:t>
      </w:r>
      <w:r>
        <w:rPr>
          <w:rFonts w:ascii="宋体" w:hAnsi="宋体" w:eastAsia="宋体" w:cs="宋体"/>
          <w:sz w:val="24"/>
          <w:szCs w:val="24"/>
        </w:rPr>
        <w:t>具备支持LAN/RS232通讯控制</w:t>
      </w:r>
    </w:p>
    <w:p w14:paraId="1E0C540E">
      <w:pPr>
        <w:pStyle w:val="14"/>
        <w:spacing w:line="360" w:lineRule="auto"/>
        <w:jc w:val="both"/>
        <w:rPr>
          <w:rFonts w:hint="default" w:ascii="宋体" w:hAnsi="宋体" w:eastAsia="宋体" w:cs="宋体"/>
          <w:b/>
          <w:sz w:val="24"/>
          <w:szCs w:val="24"/>
        </w:rPr>
      </w:pPr>
      <w:r>
        <w:rPr>
          <w:rFonts w:ascii="宋体" w:hAnsi="宋体" w:eastAsia="宋体" w:cs="宋体"/>
          <w:b/>
          <w:sz w:val="24"/>
          <w:szCs w:val="24"/>
        </w:rPr>
        <w:t>2.8 I/O输入输出控制模块</w:t>
      </w:r>
    </w:p>
    <w:p w14:paraId="5A0168B0">
      <w:pPr>
        <w:pStyle w:val="14"/>
        <w:spacing w:line="360" w:lineRule="auto"/>
        <w:jc w:val="both"/>
        <w:rPr>
          <w:rFonts w:hint="default" w:ascii="宋体" w:hAnsi="宋体" w:eastAsia="宋体" w:cs="宋体"/>
          <w:b/>
          <w:bCs/>
          <w:sz w:val="24"/>
          <w:szCs w:val="24"/>
        </w:rPr>
      </w:pPr>
      <w:r>
        <w:rPr>
          <w:rFonts w:ascii="宋体" w:hAnsi="宋体" w:eastAsia="宋体" w:cs="宋体"/>
          <w:b/>
          <w:bCs/>
          <w:sz w:val="24"/>
          <w:szCs w:val="24"/>
          <w:lang w:eastAsia="zh-CN"/>
        </w:rPr>
        <w:t xml:space="preserve">2.8.1 </w:t>
      </w:r>
      <w:r>
        <w:rPr>
          <w:rFonts w:ascii="宋体" w:hAnsi="宋体" w:eastAsia="宋体" w:cs="宋体"/>
          <w:b/>
          <w:bCs/>
          <w:sz w:val="24"/>
          <w:szCs w:val="24"/>
        </w:rPr>
        <w:t>A/O模拟量驱动输出模块：</w:t>
      </w:r>
    </w:p>
    <w:p w14:paraId="031A0C5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评审指标46</w:t>
      </w:r>
      <w:r>
        <w:rPr>
          <w:rFonts w:hint="eastAsia" w:ascii="宋体" w:hAnsi="宋体" w:cs="宋体"/>
          <w:b/>
          <w:bCs/>
          <w:color w:val="auto"/>
          <w:sz w:val="24"/>
          <w:szCs w:val="24"/>
          <w:lang w:eastAsia="zh-CN"/>
        </w:rPr>
        <w:t>）</w:t>
      </w:r>
      <w:r>
        <w:rPr>
          <w:rFonts w:ascii="宋体" w:hAnsi="宋体" w:eastAsia="宋体" w:cs="宋体"/>
          <w:bCs/>
          <w:sz w:val="24"/>
          <w:szCs w:val="24"/>
        </w:rPr>
        <w:t>1)功率范围：0～60 W</w:t>
      </w:r>
    </w:p>
    <w:p w14:paraId="19584EBC">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评审指标47</w:t>
      </w:r>
      <w:r>
        <w:rPr>
          <w:rFonts w:hint="eastAsia" w:ascii="宋体" w:hAnsi="宋体" w:cs="宋体"/>
          <w:b/>
          <w:bCs/>
          <w:color w:val="auto"/>
          <w:sz w:val="24"/>
          <w:szCs w:val="24"/>
          <w:lang w:eastAsia="zh-CN"/>
        </w:rPr>
        <w:t>）</w:t>
      </w:r>
      <w:r>
        <w:rPr>
          <w:rFonts w:ascii="宋体" w:hAnsi="宋体" w:eastAsia="宋体" w:cs="宋体"/>
          <w:bCs/>
          <w:sz w:val="24"/>
          <w:szCs w:val="24"/>
        </w:rPr>
        <w:t>2)模拟量输出电压：30 V</w:t>
      </w:r>
    </w:p>
    <w:p w14:paraId="6BD12FB4">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评审指标48</w:t>
      </w:r>
      <w:r>
        <w:rPr>
          <w:rFonts w:hint="eastAsia" w:ascii="宋体" w:hAnsi="宋体" w:cs="宋体"/>
          <w:b/>
          <w:bCs/>
          <w:color w:val="auto"/>
          <w:sz w:val="24"/>
          <w:szCs w:val="24"/>
          <w:lang w:eastAsia="zh-CN"/>
        </w:rPr>
        <w:t>）</w:t>
      </w:r>
      <w:r>
        <w:rPr>
          <w:rFonts w:ascii="宋体" w:hAnsi="宋体" w:eastAsia="宋体" w:cs="宋体"/>
          <w:bCs/>
          <w:sz w:val="24"/>
          <w:szCs w:val="24"/>
        </w:rPr>
        <w:t>3)模拟量输出电流：2 A</w:t>
      </w:r>
    </w:p>
    <w:p w14:paraId="53200014">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评审指标49</w:t>
      </w:r>
      <w:r>
        <w:rPr>
          <w:rFonts w:hint="eastAsia" w:ascii="宋体" w:hAnsi="宋体" w:cs="宋体"/>
          <w:b/>
          <w:bCs/>
          <w:color w:val="auto"/>
          <w:sz w:val="24"/>
          <w:szCs w:val="24"/>
          <w:lang w:eastAsia="zh-CN"/>
        </w:rPr>
        <w:t>）</w:t>
      </w:r>
      <w:r>
        <w:rPr>
          <w:rFonts w:ascii="宋体" w:hAnsi="宋体" w:eastAsia="宋体" w:cs="宋体"/>
          <w:bCs/>
          <w:sz w:val="24"/>
          <w:szCs w:val="24"/>
        </w:rPr>
        <w:t>4)支持恒电压(CV)、恒电流(CC)模式</w:t>
      </w:r>
    </w:p>
    <w:p w14:paraId="0DAFEA7E">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评审指标50</w:t>
      </w:r>
      <w:r>
        <w:rPr>
          <w:rFonts w:hint="eastAsia" w:ascii="宋体" w:hAnsi="宋体" w:cs="宋体"/>
          <w:b/>
          <w:bCs/>
          <w:color w:val="auto"/>
          <w:sz w:val="24"/>
          <w:szCs w:val="24"/>
          <w:lang w:eastAsia="zh-CN"/>
        </w:rPr>
        <w:t>）</w:t>
      </w:r>
      <w:r>
        <w:rPr>
          <w:rFonts w:ascii="宋体" w:hAnsi="宋体" w:eastAsia="宋体" w:cs="宋体"/>
          <w:bCs/>
          <w:sz w:val="24"/>
          <w:szCs w:val="24"/>
        </w:rPr>
        <w:t>5)CC&amp;CV优先权选择功能</w:t>
      </w:r>
    </w:p>
    <w:p w14:paraId="30C3947A">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评审指标51</w:t>
      </w:r>
      <w:r>
        <w:rPr>
          <w:rFonts w:hint="eastAsia" w:ascii="宋体" w:hAnsi="宋体" w:cs="宋体"/>
          <w:b/>
          <w:bCs/>
          <w:color w:val="auto"/>
          <w:sz w:val="24"/>
          <w:szCs w:val="24"/>
          <w:lang w:eastAsia="zh-CN"/>
        </w:rPr>
        <w:t>）</w:t>
      </w:r>
      <w:r>
        <w:rPr>
          <w:rFonts w:ascii="宋体" w:hAnsi="宋体" w:eastAsia="宋体" w:cs="宋体"/>
          <w:bCs/>
          <w:sz w:val="24"/>
          <w:szCs w:val="24"/>
        </w:rPr>
        <w:t>6)支持OVP、OCP、OPP、OTP保护</w:t>
      </w:r>
    </w:p>
    <w:p w14:paraId="5A23E8B5">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评审指标52</w:t>
      </w:r>
      <w:r>
        <w:rPr>
          <w:rFonts w:hint="eastAsia" w:ascii="宋体" w:hAnsi="宋体" w:cs="宋体"/>
          <w:b/>
          <w:bCs/>
          <w:color w:val="auto"/>
          <w:sz w:val="24"/>
          <w:szCs w:val="24"/>
          <w:lang w:eastAsia="zh-CN"/>
        </w:rPr>
        <w:t>）</w:t>
      </w:r>
      <w:r>
        <w:rPr>
          <w:rFonts w:ascii="宋体" w:hAnsi="宋体" w:eastAsia="宋体" w:cs="宋体"/>
          <w:bCs/>
          <w:sz w:val="24"/>
          <w:szCs w:val="24"/>
        </w:rPr>
        <w:t>7)支持LAN接口控制</w:t>
      </w:r>
    </w:p>
    <w:p w14:paraId="349E694C">
      <w:pPr>
        <w:pStyle w:val="14"/>
        <w:spacing w:line="360" w:lineRule="auto"/>
        <w:rPr>
          <w:rFonts w:hint="default" w:ascii="宋体" w:hAnsi="宋体" w:eastAsia="宋体" w:cs="宋体"/>
          <w:b/>
          <w:sz w:val="24"/>
          <w:szCs w:val="24"/>
        </w:rPr>
      </w:pPr>
      <w:r>
        <w:rPr>
          <w:rFonts w:ascii="宋体" w:hAnsi="宋体" w:eastAsia="宋体" w:cs="宋体"/>
          <w:b/>
          <w:sz w:val="24"/>
          <w:szCs w:val="24"/>
          <w:lang w:eastAsia="zh-CN"/>
        </w:rPr>
        <w:t xml:space="preserve">2.8.2 </w:t>
      </w:r>
      <w:r>
        <w:rPr>
          <w:rFonts w:ascii="宋体" w:hAnsi="宋体" w:eastAsia="宋体" w:cs="宋体"/>
          <w:b/>
          <w:sz w:val="24"/>
          <w:szCs w:val="24"/>
        </w:rPr>
        <w:t>A/I模拟量输入测量模块：</w:t>
      </w:r>
    </w:p>
    <w:p w14:paraId="3C3A4FB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评审指标53</w:t>
      </w:r>
      <w:r>
        <w:rPr>
          <w:rFonts w:hint="eastAsia" w:ascii="宋体" w:hAnsi="宋体" w:cs="宋体"/>
          <w:b/>
          <w:bCs/>
          <w:color w:val="auto"/>
          <w:sz w:val="24"/>
          <w:szCs w:val="24"/>
          <w:lang w:eastAsia="zh-CN"/>
        </w:rPr>
        <w:t>）</w:t>
      </w:r>
      <w:r>
        <w:rPr>
          <w:rFonts w:ascii="宋体" w:hAnsi="宋体" w:eastAsia="宋体" w:cs="宋体"/>
          <w:bCs/>
          <w:sz w:val="24"/>
          <w:szCs w:val="24"/>
        </w:rPr>
        <w:t>1)支持4通道电压测量</w:t>
      </w:r>
    </w:p>
    <w:p w14:paraId="241107C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评审指标54</w:t>
      </w:r>
      <w:r>
        <w:rPr>
          <w:rFonts w:hint="eastAsia" w:ascii="宋体" w:hAnsi="宋体" w:cs="宋体"/>
          <w:b/>
          <w:bCs/>
          <w:color w:val="auto"/>
          <w:sz w:val="24"/>
          <w:szCs w:val="24"/>
          <w:lang w:eastAsia="zh-CN"/>
        </w:rPr>
        <w:t>）</w:t>
      </w:r>
      <w:r>
        <w:rPr>
          <w:rFonts w:ascii="宋体" w:hAnsi="宋体" w:eastAsia="宋体" w:cs="宋体"/>
          <w:bCs/>
          <w:sz w:val="24"/>
          <w:szCs w:val="24"/>
        </w:rPr>
        <w:t>2)DCV基本精度：0.025%+0.025%F.S.</w:t>
      </w:r>
    </w:p>
    <w:p w14:paraId="3C645780">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评审指标55</w:t>
      </w:r>
      <w:r>
        <w:rPr>
          <w:rFonts w:hint="eastAsia" w:ascii="宋体" w:hAnsi="宋体" w:cs="宋体"/>
          <w:b/>
          <w:bCs/>
          <w:color w:val="auto"/>
          <w:sz w:val="24"/>
          <w:szCs w:val="24"/>
          <w:lang w:eastAsia="zh-CN"/>
        </w:rPr>
        <w:t>）</w:t>
      </w:r>
      <w:r>
        <w:rPr>
          <w:rFonts w:ascii="宋体" w:hAnsi="宋体" w:eastAsia="宋体" w:cs="宋体"/>
          <w:bCs/>
          <w:sz w:val="24"/>
          <w:szCs w:val="24"/>
        </w:rPr>
        <w:t>3)DC量程 -60 V～+60 V；-600 V～+600 V</w:t>
      </w:r>
    </w:p>
    <w:p w14:paraId="707DAD27">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评审指标56</w:t>
      </w:r>
      <w:r>
        <w:rPr>
          <w:rFonts w:hint="eastAsia" w:ascii="宋体" w:hAnsi="宋体" w:cs="宋体"/>
          <w:b/>
          <w:bCs/>
          <w:color w:val="auto"/>
          <w:sz w:val="24"/>
          <w:szCs w:val="24"/>
          <w:lang w:eastAsia="zh-CN"/>
        </w:rPr>
        <w:t>）</w:t>
      </w:r>
      <w:r>
        <w:rPr>
          <w:rFonts w:ascii="宋体" w:hAnsi="宋体" w:eastAsia="宋体" w:cs="宋体"/>
          <w:bCs/>
          <w:sz w:val="24"/>
          <w:szCs w:val="24"/>
        </w:rPr>
        <w:t>4)支持快/中/慢三档读数速率</w:t>
      </w:r>
    </w:p>
    <w:p w14:paraId="2068A156">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评审指标57</w:t>
      </w:r>
      <w:r>
        <w:rPr>
          <w:rFonts w:hint="eastAsia" w:ascii="宋体" w:hAnsi="宋体" w:cs="宋体"/>
          <w:b/>
          <w:bCs/>
          <w:color w:val="auto"/>
          <w:sz w:val="24"/>
          <w:szCs w:val="24"/>
          <w:lang w:eastAsia="zh-CN"/>
        </w:rPr>
        <w:t>）</w:t>
      </w:r>
      <w:r>
        <w:rPr>
          <w:rFonts w:ascii="宋体" w:hAnsi="宋体" w:eastAsia="宋体" w:cs="宋体"/>
          <w:bCs/>
          <w:sz w:val="24"/>
          <w:szCs w:val="24"/>
        </w:rPr>
        <w:t>5)支持LAN/CAN通讯单独控制使用</w:t>
      </w:r>
    </w:p>
    <w:p w14:paraId="690236EF">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评审指标58</w:t>
      </w:r>
      <w:r>
        <w:rPr>
          <w:rFonts w:hint="eastAsia" w:ascii="宋体" w:hAnsi="宋体" w:cs="宋体"/>
          <w:b/>
          <w:bCs/>
          <w:color w:val="auto"/>
          <w:sz w:val="24"/>
          <w:szCs w:val="24"/>
          <w:lang w:eastAsia="zh-CN"/>
        </w:rPr>
        <w:t>）</w:t>
      </w:r>
      <w:r>
        <w:rPr>
          <w:rFonts w:ascii="宋体" w:hAnsi="宋体" w:eastAsia="宋体" w:cs="宋体"/>
          <w:bCs/>
          <w:sz w:val="24"/>
          <w:szCs w:val="24"/>
        </w:rPr>
        <w:t>6)提供丰富的Labview、C#上位机开发例程</w:t>
      </w:r>
    </w:p>
    <w:p w14:paraId="15024EBC">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评审指标59</w:t>
      </w:r>
      <w:r>
        <w:rPr>
          <w:rFonts w:hint="eastAsia" w:ascii="宋体" w:hAnsi="宋体" w:cs="宋体"/>
          <w:b/>
          <w:bCs/>
          <w:color w:val="auto"/>
          <w:sz w:val="24"/>
          <w:szCs w:val="24"/>
          <w:lang w:eastAsia="zh-CN"/>
        </w:rPr>
        <w:t>）</w:t>
      </w:r>
      <w:r>
        <w:rPr>
          <w:rFonts w:ascii="宋体" w:hAnsi="宋体" w:eastAsia="宋体" w:cs="宋体"/>
          <w:bCs/>
          <w:sz w:val="24"/>
          <w:szCs w:val="24"/>
        </w:rPr>
        <w:t>7)提供DLL驱动文件，可用于C++、.NET、VB、Delphi等开发语言</w:t>
      </w:r>
    </w:p>
    <w:p w14:paraId="149348F5">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评审指标60</w:t>
      </w:r>
      <w:r>
        <w:rPr>
          <w:rFonts w:hint="eastAsia" w:ascii="宋体" w:hAnsi="宋体" w:cs="宋体"/>
          <w:b/>
          <w:bCs/>
          <w:color w:val="auto"/>
          <w:sz w:val="24"/>
          <w:szCs w:val="24"/>
          <w:lang w:eastAsia="zh-CN"/>
        </w:rPr>
        <w:t>）</w:t>
      </w:r>
      <w:r>
        <w:rPr>
          <w:rFonts w:ascii="宋体" w:hAnsi="宋体" w:eastAsia="宋体" w:cs="宋体"/>
          <w:bCs/>
          <w:sz w:val="24"/>
          <w:szCs w:val="24"/>
        </w:rPr>
        <w:t>8)支持Modbus-RTU、SCPI、CANopen协议</w:t>
      </w:r>
    </w:p>
    <w:p w14:paraId="25922C74">
      <w:pPr>
        <w:pStyle w:val="14"/>
        <w:spacing w:line="360" w:lineRule="auto"/>
        <w:rPr>
          <w:rFonts w:hint="default" w:ascii="宋体" w:hAnsi="宋体" w:eastAsia="宋体" w:cs="宋体"/>
          <w:b/>
          <w:sz w:val="24"/>
          <w:szCs w:val="24"/>
        </w:rPr>
      </w:pPr>
      <w:r>
        <w:rPr>
          <w:rFonts w:ascii="宋体" w:hAnsi="宋体" w:eastAsia="宋体" w:cs="宋体"/>
          <w:b/>
          <w:sz w:val="24"/>
          <w:szCs w:val="24"/>
          <w:lang w:eastAsia="zh-CN"/>
        </w:rPr>
        <w:t xml:space="preserve">2.8.3 </w:t>
      </w:r>
      <w:r>
        <w:rPr>
          <w:rFonts w:ascii="宋体" w:hAnsi="宋体" w:eastAsia="宋体" w:cs="宋体"/>
          <w:b/>
          <w:sz w:val="24"/>
          <w:szCs w:val="24"/>
        </w:rPr>
        <w:t>DI/DO数字量输入/输出模块：</w:t>
      </w:r>
    </w:p>
    <w:p w14:paraId="73C01DC0">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评审指标61</w:t>
      </w:r>
      <w:r>
        <w:rPr>
          <w:rFonts w:hint="eastAsia" w:ascii="宋体" w:hAnsi="宋体" w:cs="宋体"/>
          <w:b/>
          <w:bCs/>
          <w:color w:val="auto"/>
          <w:sz w:val="24"/>
          <w:szCs w:val="24"/>
          <w:lang w:eastAsia="zh-CN"/>
        </w:rPr>
        <w:t>）</w:t>
      </w:r>
      <w:r>
        <w:rPr>
          <w:rFonts w:ascii="宋体" w:hAnsi="宋体" w:eastAsia="宋体" w:cs="宋体"/>
          <w:bCs/>
          <w:sz w:val="24"/>
          <w:szCs w:val="24"/>
        </w:rPr>
        <w:t>1)需要具备32通道数字量输入输出</w:t>
      </w:r>
    </w:p>
    <w:p w14:paraId="2C42571F">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评审指标62</w:t>
      </w:r>
      <w:r>
        <w:rPr>
          <w:rFonts w:hint="eastAsia" w:ascii="宋体" w:hAnsi="宋体" w:cs="宋体"/>
          <w:b/>
          <w:bCs/>
          <w:color w:val="auto"/>
          <w:sz w:val="24"/>
          <w:szCs w:val="24"/>
          <w:lang w:eastAsia="zh-CN"/>
        </w:rPr>
        <w:t>）</w:t>
      </w:r>
      <w:r>
        <w:rPr>
          <w:rFonts w:ascii="宋体" w:hAnsi="宋体" w:eastAsia="宋体" w:cs="宋体"/>
          <w:bCs/>
          <w:sz w:val="24"/>
          <w:szCs w:val="24"/>
        </w:rPr>
        <w:t>2)其中24通道输入输出方向可任意配置</w:t>
      </w:r>
    </w:p>
    <w:p w14:paraId="08150A3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评审指标63</w:t>
      </w:r>
      <w:r>
        <w:rPr>
          <w:rFonts w:hint="eastAsia" w:ascii="宋体" w:hAnsi="宋体" w:cs="宋体"/>
          <w:b/>
          <w:bCs/>
          <w:color w:val="auto"/>
          <w:sz w:val="24"/>
          <w:szCs w:val="24"/>
          <w:lang w:eastAsia="zh-CN"/>
        </w:rPr>
        <w:t>）</w:t>
      </w:r>
      <w:r>
        <w:rPr>
          <w:rFonts w:ascii="宋体" w:hAnsi="宋体" w:eastAsia="宋体" w:cs="宋体"/>
          <w:bCs/>
          <w:sz w:val="24"/>
          <w:szCs w:val="24"/>
        </w:rPr>
        <w:t>3)其中4路PWM输出</w:t>
      </w:r>
    </w:p>
    <w:p w14:paraId="2A35C489">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评审指标64</w:t>
      </w:r>
      <w:r>
        <w:rPr>
          <w:rFonts w:hint="eastAsia" w:ascii="宋体" w:hAnsi="宋体" w:cs="宋体"/>
          <w:b/>
          <w:bCs/>
          <w:color w:val="auto"/>
          <w:sz w:val="24"/>
          <w:szCs w:val="24"/>
          <w:lang w:eastAsia="zh-CN"/>
        </w:rPr>
        <w:t>）</w:t>
      </w:r>
      <w:r>
        <w:rPr>
          <w:rFonts w:ascii="宋体" w:hAnsi="宋体" w:eastAsia="宋体" w:cs="宋体"/>
          <w:bCs/>
          <w:sz w:val="24"/>
          <w:szCs w:val="24"/>
        </w:rPr>
        <w:t>4)电压：3.3 V/5 V</w:t>
      </w:r>
    </w:p>
    <w:p w14:paraId="6BC18C77">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评审指标65</w:t>
      </w:r>
      <w:r>
        <w:rPr>
          <w:rFonts w:hint="eastAsia" w:ascii="宋体" w:hAnsi="宋体" w:cs="宋体"/>
          <w:b/>
          <w:bCs/>
          <w:color w:val="auto"/>
          <w:sz w:val="24"/>
          <w:szCs w:val="24"/>
          <w:lang w:eastAsia="zh-CN"/>
        </w:rPr>
        <w:t>）</w:t>
      </w:r>
      <w:r>
        <w:rPr>
          <w:rFonts w:ascii="宋体" w:hAnsi="宋体" w:eastAsia="宋体" w:cs="宋体"/>
          <w:bCs/>
          <w:sz w:val="24"/>
          <w:szCs w:val="24"/>
        </w:rPr>
        <w:t>5)支持干湿接点输入</w:t>
      </w:r>
    </w:p>
    <w:p w14:paraId="7B36A31E">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评审指标66</w:t>
      </w:r>
      <w:r>
        <w:rPr>
          <w:rFonts w:hint="eastAsia" w:ascii="宋体" w:hAnsi="宋体" w:cs="宋体"/>
          <w:b/>
          <w:bCs/>
          <w:color w:val="auto"/>
          <w:sz w:val="24"/>
          <w:szCs w:val="24"/>
          <w:lang w:eastAsia="zh-CN"/>
        </w:rPr>
        <w:t>）</w:t>
      </w:r>
      <w:r>
        <w:rPr>
          <w:rFonts w:ascii="宋体" w:hAnsi="宋体" w:eastAsia="宋体" w:cs="宋体"/>
          <w:bCs/>
          <w:sz w:val="24"/>
          <w:szCs w:val="24"/>
        </w:rPr>
        <w:t>6)通道同步输入输出，同步时间误差1.25ns</w:t>
      </w:r>
    </w:p>
    <w:p w14:paraId="7A1CB9B2">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评审指标67</w:t>
      </w:r>
      <w:r>
        <w:rPr>
          <w:rFonts w:hint="eastAsia" w:ascii="宋体" w:hAnsi="宋体" w:cs="宋体"/>
          <w:b/>
          <w:bCs/>
          <w:color w:val="auto"/>
          <w:sz w:val="24"/>
          <w:szCs w:val="24"/>
          <w:lang w:eastAsia="zh-CN"/>
        </w:rPr>
        <w:t>）</w:t>
      </w:r>
      <w:r>
        <w:rPr>
          <w:rFonts w:ascii="宋体" w:hAnsi="宋体" w:eastAsia="宋体" w:cs="宋体"/>
          <w:bCs/>
          <w:sz w:val="24"/>
          <w:szCs w:val="24"/>
        </w:rPr>
        <w:t>7)支持PWM输出以及脉冲频率、周期、脉宽测量</w:t>
      </w:r>
    </w:p>
    <w:p w14:paraId="3B0CCEFC">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评审指标68</w:t>
      </w:r>
      <w:r>
        <w:rPr>
          <w:rFonts w:hint="eastAsia" w:ascii="宋体" w:hAnsi="宋体" w:cs="宋体"/>
          <w:b/>
          <w:bCs/>
          <w:color w:val="auto"/>
          <w:sz w:val="24"/>
          <w:szCs w:val="24"/>
          <w:lang w:eastAsia="zh-CN"/>
        </w:rPr>
        <w:t>）</w:t>
      </w:r>
      <w:r>
        <w:rPr>
          <w:rFonts w:ascii="宋体" w:hAnsi="宋体" w:eastAsia="宋体" w:cs="宋体"/>
          <w:bCs/>
          <w:sz w:val="24"/>
          <w:szCs w:val="24"/>
        </w:rPr>
        <w:t>8)支持定时器/计数器和中断处理功能</w:t>
      </w:r>
    </w:p>
    <w:p w14:paraId="4F048BE1">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评审指标69</w:t>
      </w:r>
      <w:r>
        <w:rPr>
          <w:rFonts w:hint="eastAsia" w:ascii="宋体" w:hAnsi="宋体" w:cs="宋体"/>
          <w:b/>
          <w:bCs/>
          <w:color w:val="auto"/>
          <w:sz w:val="24"/>
          <w:szCs w:val="24"/>
          <w:lang w:eastAsia="zh-CN"/>
        </w:rPr>
        <w:t>）</w:t>
      </w:r>
      <w:r>
        <w:rPr>
          <w:rFonts w:ascii="宋体" w:hAnsi="宋体" w:eastAsia="宋体" w:cs="宋体"/>
          <w:bCs/>
          <w:sz w:val="24"/>
          <w:szCs w:val="24"/>
        </w:rPr>
        <w:t>9)支持LAN通讯单独控制使用</w:t>
      </w:r>
    </w:p>
    <w:p w14:paraId="7C7715E5">
      <w:pPr>
        <w:pStyle w:val="14"/>
        <w:spacing w:line="360" w:lineRule="auto"/>
        <w:rPr>
          <w:rFonts w:hint="default" w:ascii="宋体" w:hAnsi="宋体" w:eastAsia="宋体" w:cs="宋体"/>
          <w:b/>
          <w:sz w:val="24"/>
          <w:szCs w:val="24"/>
        </w:rPr>
      </w:pPr>
      <w:r>
        <w:rPr>
          <w:rFonts w:ascii="宋体" w:hAnsi="宋体" w:eastAsia="宋体" w:cs="宋体"/>
          <w:b/>
          <w:sz w:val="24"/>
          <w:szCs w:val="24"/>
          <w:lang w:eastAsia="zh-CN"/>
        </w:rPr>
        <w:t xml:space="preserve">2.8.4 </w:t>
      </w:r>
      <w:r>
        <w:rPr>
          <w:rFonts w:ascii="宋体" w:hAnsi="宋体" w:eastAsia="宋体" w:cs="宋体"/>
          <w:b/>
          <w:sz w:val="24"/>
          <w:szCs w:val="24"/>
        </w:rPr>
        <w:t>高压I/O输入输出模块：</w:t>
      </w:r>
    </w:p>
    <w:p w14:paraId="7F8FFD41">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评审指标70</w:t>
      </w:r>
      <w:r>
        <w:rPr>
          <w:rFonts w:hint="eastAsia" w:ascii="宋体" w:hAnsi="宋体" w:cs="宋体"/>
          <w:b/>
          <w:bCs/>
          <w:color w:val="auto"/>
          <w:sz w:val="24"/>
          <w:szCs w:val="24"/>
          <w:lang w:eastAsia="zh-CN"/>
        </w:rPr>
        <w:t>）</w:t>
      </w:r>
      <w:r>
        <w:rPr>
          <w:rFonts w:ascii="宋体" w:hAnsi="宋体" w:eastAsia="宋体" w:cs="宋体"/>
          <w:bCs/>
          <w:sz w:val="24"/>
          <w:szCs w:val="24"/>
        </w:rPr>
        <w:t>1)输入电平电压：3.3V～40V</w:t>
      </w:r>
    </w:p>
    <w:p w14:paraId="51F3AB9C">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评审指标71</w:t>
      </w:r>
      <w:r>
        <w:rPr>
          <w:rFonts w:hint="eastAsia" w:ascii="宋体" w:hAnsi="宋体" w:cs="宋体"/>
          <w:b/>
          <w:bCs/>
          <w:color w:val="auto"/>
          <w:sz w:val="24"/>
          <w:szCs w:val="24"/>
          <w:lang w:eastAsia="zh-CN"/>
        </w:rPr>
        <w:t>）</w:t>
      </w:r>
      <w:r>
        <w:rPr>
          <w:rFonts w:ascii="宋体" w:hAnsi="宋体" w:eastAsia="宋体" w:cs="宋体"/>
          <w:bCs/>
          <w:sz w:val="24"/>
          <w:szCs w:val="24"/>
        </w:rPr>
        <w:t>2)频率范围：1Hz～100kHz</w:t>
      </w:r>
    </w:p>
    <w:p w14:paraId="0C0B6966">
      <w:pPr>
        <w:pStyle w:val="14"/>
        <w:spacing w:line="360" w:lineRule="auto"/>
        <w:rPr>
          <w:rFonts w:hint="default" w:ascii="宋体" w:hAnsi="宋体" w:eastAsia="宋体" w:cs="宋体"/>
          <w:bCs/>
          <w:sz w:val="24"/>
          <w:szCs w:val="24"/>
          <w:highlight w:val="none"/>
        </w:rPr>
      </w:pPr>
      <w:r>
        <w:rPr>
          <w:rFonts w:ascii="宋体" w:hAnsi="宋体" w:eastAsia="宋体" w:cs="宋体"/>
          <w:sz w:val="24"/>
          <w:szCs w:val="24"/>
          <w:highlight w:val="none"/>
        </w:rPr>
        <w:t>▲</w:t>
      </w:r>
      <w:r>
        <w:rPr>
          <w:rFonts w:ascii="宋体" w:hAnsi="宋体" w:eastAsia="宋体" w:cs="宋体"/>
          <w:bCs/>
          <w:sz w:val="24"/>
          <w:szCs w:val="24"/>
          <w:highlight w:val="none"/>
        </w:rPr>
        <w:t>3)</w:t>
      </w:r>
      <w:r>
        <w:rPr>
          <w:rFonts w:hint="eastAsia" w:ascii="宋体" w:hAnsi="宋体" w:eastAsia="宋体" w:cs="宋体"/>
          <w:bCs/>
          <w:sz w:val="24"/>
          <w:szCs w:val="24"/>
          <w:highlight w:val="none"/>
          <w:lang w:val="en-US" w:eastAsia="zh-CN"/>
        </w:rPr>
        <w:t xml:space="preserve"> </w:t>
      </w:r>
      <w:r>
        <w:rPr>
          <w:rFonts w:ascii="宋体" w:hAnsi="宋体" w:eastAsia="宋体" w:cs="宋体"/>
          <w:bCs/>
          <w:sz w:val="24"/>
          <w:szCs w:val="24"/>
          <w:highlight w:val="none"/>
        </w:rPr>
        <w:t>8通道PWM输入测量，8通道PWM输出驱动</w:t>
      </w:r>
    </w:p>
    <w:p w14:paraId="2CD72CD9">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评审指标72</w:t>
      </w:r>
      <w:r>
        <w:rPr>
          <w:rFonts w:hint="eastAsia" w:ascii="宋体" w:hAnsi="宋体" w:cs="宋体"/>
          <w:b/>
          <w:bCs/>
          <w:color w:val="auto"/>
          <w:sz w:val="24"/>
          <w:szCs w:val="24"/>
          <w:lang w:eastAsia="zh-CN"/>
        </w:rPr>
        <w:t>）</w:t>
      </w:r>
      <w:r>
        <w:rPr>
          <w:rFonts w:ascii="宋体" w:hAnsi="宋体" w:eastAsia="宋体" w:cs="宋体"/>
          <w:bCs/>
          <w:sz w:val="24"/>
          <w:szCs w:val="24"/>
          <w:highlight w:val="none"/>
        </w:rPr>
        <w:t>4)输出电</w:t>
      </w:r>
      <w:r>
        <w:rPr>
          <w:rFonts w:ascii="宋体" w:hAnsi="宋体" w:eastAsia="宋体" w:cs="宋体"/>
          <w:bCs/>
          <w:sz w:val="24"/>
          <w:szCs w:val="24"/>
        </w:rPr>
        <w:t>压：默认24 V（内部电源），可外接3.3 V～32 V电源来做输出电压</w:t>
      </w:r>
    </w:p>
    <w:p w14:paraId="55E03C8D">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评审指标73</w:t>
      </w:r>
      <w:r>
        <w:rPr>
          <w:rFonts w:hint="eastAsia" w:ascii="宋体" w:hAnsi="宋体" w:cs="宋体"/>
          <w:b/>
          <w:bCs/>
          <w:color w:val="auto"/>
          <w:sz w:val="24"/>
          <w:szCs w:val="24"/>
          <w:lang w:eastAsia="zh-CN"/>
        </w:rPr>
        <w:t>）</w:t>
      </w:r>
      <w:r>
        <w:rPr>
          <w:rFonts w:ascii="宋体" w:hAnsi="宋体" w:eastAsia="宋体" w:cs="宋体"/>
          <w:bCs/>
          <w:sz w:val="24"/>
          <w:szCs w:val="24"/>
        </w:rPr>
        <w:t>5)输出驱动电流：≤100mA</w:t>
      </w:r>
    </w:p>
    <w:p w14:paraId="3DAE71E0">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评审指标74</w:t>
      </w:r>
      <w:r>
        <w:rPr>
          <w:rFonts w:hint="eastAsia" w:ascii="宋体" w:hAnsi="宋体" w:cs="宋体"/>
          <w:b/>
          <w:bCs/>
          <w:color w:val="auto"/>
          <w:sz w:val="24"/>
          <w:szCs w:val="24"/>
          <w:lang w:eastAsia="zh-CN"/>
        </w:rPr>
        <w:t>）</w:t>
      </w:r>
      <w:r>
        <w:rPr>
          <w:rFonts w:hint="eastAsia" w:ascii="宋体" w:hAnsi="宋体" w:eastAsia="宋体" w:cs="宋体"/>
          <w:bCs/>
          <w:sz w:val="24"/>
          <w:szCs w:val="24"/>
          <w:lang w:val="en-US" w:eastAsia="zh-CN"/>
        </w:rPr>
        <w:t>6</w:t>
      </w:r>
      <w:r>
        <w:rPr>
          <w:rFonts w:ascii="宋体" w:hAnsi="宋体" w:eastAsia="宋体" w:cs="宋体"/>
          <w:bCs/>
          <w:sz w:val="24"/>
          <w:szCs w:val="24"/>
        </w:rPr>
        <w:t>)支持频率测量功能</w:t>
      </w:r>
    </w:p>
    <w:p w14:paraId="68536F72">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评审指标75</w:t>
      </w:r>
      <w:r>
        <w:rPr>
          <w:rFonts w:hint="eastAsia" w:ascii="宋体" w:hAnsi="宋体" w:cs="宋体"/>
          <w:b/>
          <w:bCs/>
          <w:color w:val="auto"/>
          <w:sz w:val="24"/>
          <w:szCs w:val="24"/>
          <w:lang w:eastAsia="zh-CN"/>
        </w:rPr>
        <w:t>）</w:t>
      </w:r>
      <w:r>
        <w:rPr>
          <w:rFonts w:hint="eastAsia" w:ascii="宋体" w:hAnsi="宋体" w:eastAsia="宋体" w:cs="宋体"/>
          <w:bCs/>
          <w:sz w:val="24"/>
          <w:szCs w:val="24"/>
          <w:lang w:val="en-US" w:eastAsia="zh-CN"/>
        </w:rPr>
        <w:t>7</w:t>
      </w:r>
      <w:r>
        <w:rPr>
          <w:rFonts w:ascii="宋体" w:hAnsi="宋体" w:eastAsia="宋体" w:cs="宋体"/>
          <w:bCs/>
          <w:sz w:val="24"/>
          <w:szCs w:val="24"/>
        </w:rPr>
        <w:t>)支持串流采样，可缓存</w:t>
      </w:r>
      <w:r>
        <w:rPr>
          <w:rFonts w:ascii="宋体" w:hAnsi="宋体" w:eastAsia="宋体" w:cs="宋体"/>
          <w:bCs/>
          <w:sz w:val="24"/>
          <w:szCs w:val="24"/>
          <w:lang w:eastAsia="zh-CN"/>
        </w:rPr>
        <w:t>1</w:t>
      </w:r>
      <w:r>
        <w:rPr>
          <w:rFonts w:hint="default" w:ascii="宋体" w:hAnsi="宋体" w:eastAsia="宋体" w:cs="宋体"/>
          <w:bCs/>
          <w:sz w:val="24"/>
          <w:szCs w:val="24"/>
          <w:lang w:eastAsia="zh-CN"/>
        </w:rPr>
        <w:t>000~</w:t>
      </w:r>
      <w:r>
        <w:rPr>
          <w:rFonts w:ascii="宋体" w:hAnsi="宋体" w:eastAsia="宋体" w:cs="宋体"/>
          <w:bCs/>
          <w:sz w:val="24"/>
          <w:szCs w:val="24"/>
        </w:rPr>
        <w:t>10000个点</w:t>
      </w:r>
    </w:p>
    <w:p w14:paraId="63E756C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评审指标76</w:t>
      </w:r>
      <w:r>
        <w:rPr>
          <w:rFonts w:hint="eastAsia" w:ascii="宋体" w:hAnsi="宋体" w:cs="宋体"/>
          <w:b/>
          <w:bCs/>
          <w:color w:val="auto"/>
          <w:sz w:val="24"/>
          <w:szCs w:val="24"/>
          <w:lang w:eastAsia="zh-CN"/>
        </w:rPr>
        <w:t>）</w:t>
      </w:r>
      <w:r>
        <w:rPr>
          <w:rFonts w:hint="eastAsia" w:ascii="宋体" w:hAnsi="宋体" w:eastAsia="宋体" w:cs="宋体"/>
          <w:bCs/>
          <w:sz w:val="24"/>
          <w:szCs w:val="24"/>
          <w:lang w:val="en-US" w:eastAsia="zh-CN"/>
        </w:rPr>
        <w:t>8</w:t>
      </w:r>
      <w:r>
        <w:rPr>
          <w:rFonts w:ascii="宋体" w:hAnsi="宋体" w:eastAsia="宋体" w:cs="宋体"/>
          <w:bCs/>
          <w:sz w:val="24"/>
          <w:szCs w:val="24"/>
        </w:rPr>
        <w:t>)支持触发功能，可多通道同步采集</w:t>
      </w:r>
    </w:p>
    <w:p w14:paraId="3CF925DA">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评审指标77</w:t>
      </w:r>
      <w:r>
        <w:rPr>
          <w:rFonts w:hint="eastAsia" w:ascii="宋体" w:hAnsi="宋体" w:cs="宋体"/>
          <w:b/>
          <w:bCs/>
          <w:color w:val="auto"/>
          <w:sz w:val="24"/>
          <w:szCs w:val="24"/>
          <w:lang w:eastAsia="zh-CN"/>
        </w:rPr>
        <w:t>）</w:t>
      </w:r>
      <w:r>
        <w:rPr>
          <w:rFonts w:hint="eastAsia" w:ascii="宋体" w:hAnsi="宋体" w:eastAsia="宋体" w:cs="宋体"/>
          <w:bCs/>
          <w:sz w:val="24"/>
          <w:szCs w:val="24"/>
          <w:lang w:val="en-US" w:eastAsia="zh-CN"/>
        </w:rPr>
        <w:t>9</w:t>
      </w:r>
      <w:r>
        <w:rPr>
          <w:rFonts w:ascii="宋体" w:hAnsi="宋体" w:eastAsia="宋体" w:cs="宋体"/>
          <w:bCs/>
          <w:sz w:val="24"/>
          <w:szCs w:val="24"/>
        </w:rPr>
        <w:t>)支持LAN通讯单独控制使用</w:t>
      </w:r>
    </w:p>
    <w:p w14:paraId="3D2DE4F4">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评审指标78</w:t>
      </w:r>
      <w:r>
        <w:rPr>
          <w:rFonts w:hint="eastAsia" w:ascii="宋体" w:hAnsi="宋体" w:cs="宋体"/>
          <w:b/>
          <w:bCs/>
          <w:color w:val="auto"/>
          <w:sz w:val="24"/>
          <w:szCs w:val="24"/>
          <w:lang w:eastAsia="zh-CN"/>
        </w:rPr>
        <w:t>）</w:t>
      </w:r>
      <w:r>
        <w:rPr>
          <w:rFonts w:ascii="宋体" w:hAnsi="宋体" w:eastAsia="宋体" w:cs="宋体"/>
          <w:bCs/>
          <w:sz w:val="24"/>
          <w:szCs w:val="24"/>
        </w:rPr>
        <w:t>1</w:t>
      </w:r>
      <w:r>
        <w:rPr>
          <w:rFonts w:hint="eastAsia" w:ascii="宋体" w:hAnsi="宋体" w:eastAsia="宋体" w:cs="宋体"/>
          <w:bCs/>
          <w:sz w:val="24"/>
          <w:szCs w:val="24"/>
          <w:lang w:val="en-US" w:eastAsia="zh-CN"/>
        </w:rPr>
        <w:t>0</w:t>
      </w:r>
      <w:r>
        <w:rPr>
          <w:rFonts w:ascii="宋体" w:hAnsi="宋体" w:eastAsia="宋体" w:cs="宋体"/>
          <w:bCs/>
          <w:sz w:val="24"/>
          <w:szCs w:val="24"/>
        </w:rPr>
        <w:t>)提供DLL驱动文件，可用于C++、.NET、VB、Delphi等开发语言</w:t>
      </w:r>
    </w:p>
    <w:p w14:paraId="24B5266E">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评审指标79</w:t>
      </w:r>
      <w:r>
        <w:rPr>
          <w:rFonts w:hint="eastAsia" w:ascii="宋体" w:hAnsi="宋体" w:cs="宋体"/>
          <w:b/>
          <w:bCs/>
          <w:color w:val="auto"/>
          <w:sz w:val="24"/>
          <w:szCs w:val="24"/>
          <w:lang w:eastAsia="zh-CN"/>
        </w:rPr>
        <w:t>）</w:t>
      </w:r>
      <w:r>
        <w:rPr>
          <w:rFonts w:ascii="宋体" w:hAnsi="宋体" w:eastAsia="宋体" w:cs="宋体"/>
          <w:bCs/>
          <w:sz w:val="24"/>
          <w:szCs w:val="24"/>
        </w:rPr>
        <w:t>1</w:t>
      </w:r>
      <w:r>
        <w:rPr>
          <w:rFonts w:hint="eastAsia" w:ascii="宋体" w:hAnsi="宋体" w:eastAsia="宋体" w:cs="宋体"/>
          <w:bCs/>
          <w:sz w:val="24"/>
          <w:szCs w:val="24"/>
          <w:lang w:val="en-US" w:eastAsia="zh-CN"/>
        </w:rPr>
        <w:t>1</w:t>
      </w:r>
      <w:r>
        <w:rPr>
          <w:rFonts w:ascii="宋体" w:hAnsi="宋体" w:eastAsia="宋体" w:cs="宋体"/>
          <w:bCs/>
          <w:sz w:val="24"/>
          <w:szCs w:val="24"/>
        </w:rPr>
        <w:t>)提供丰富的Labview、C#上位机开发例程</w:t>
      </w:r>
    </w:p>
    <w:p w14:paraId="4737FAEA">
      <w:pPr>
        <w:pStyle w:val="14"/>
        <w:spacing w:line="360" w:lineRule="auto"/>
        <w:jc w:val="both"/>
        <w:rPr>
          <w:rFonts w:hint="default" w:ascii="宋体" w:hAnsi="宋体" w:eastAsia="宋体" w:cs="宋体"/>
          <w:sz w:val="24"/>
          <w:szCs w:val="24"/>
        </w:rPr>
      </w:pPr>
      <w:r>
        <w:rPr>
          <w:rFonts w:ascii="宋体" w:hAnsi="宋体" w:eastAsia="宋体" w:cs="宋体"/>
          <w:b/>
          <w:sz w:val="24"/>
          <w:szCs w:val="24"/>
        </w:rPr>
        <w:t>2.9 通讯模块</w:t>
      </w:r>
    </w:p>
    <w:p w14:paraId="49A1C0AB">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评审指标80</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1</w:t>
      </w:r>
      <w:r>
        <w:rPr>
          <w:rFonts w:ascii="宋体" w:hAnsi="宋体" w:eastAsia="宋体" w:cs="宋体"/>
          <w:bCs/>
          <w:sz w:val="24"/>
          <w:szCs w:val="24"/>
          <w:lang w:eastAsia="zh-CN"/>
        </w:rPr>
        <w:t xml:space="preserve"> </w:t>
      </w:r>
      <w:r>
        <w:rPr>
          <w:rFonts w:ascii="宋体" w:hAnsi="宋体" w:eastAsia="宋体" w:cs="宋体"/>
          <w:bCs/>
          <w:sz w:val="24"/>
          <w:szCs w:val="24"/>
        </w:rPr>
        <w:t>单卡2通道CAN，通道间隔离</w:t>
      </w:r>
    </w:p>
    <w:p w14:paraId="5D693BE8">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评审指标81</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2</w:t>
      </w:r>
      <w:r>
        <w:rPr>
          <w:rFonts w:ascii="宋体" w:hAnsi="宋体" w:eastAsia="宋体" w:cs="宋体"/>
          <w:bCs/>
          <w:sz w:val="24"/>
          <w:szCs w:val="24"/>
          <w:lang w:eastAsia="zh-CN"/>
        </w:rPr>
        <w:t xml:space="preserve"> </w:t>
      </w:r>
      <w:r>
        <w:rPr>
          <w:rFonts w:ascii="宋体" w:hAnsi="宋体" w:eastAsia="宋体" w:cs="宋体"/>
          <w:bCs/>
          <w:sz w:val="24"/>
          <w:szCs w:val="24"/>
        </w:rPr>
        <w:t>CAN波特率任意可设，范围：5kbps～1Mbps</w:t>
      </w:r>
    </w:p>
    <w:p w14:paraId="292C20AE">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评审指标82</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3</w:t>
      </w:r>
      <w:r>
        <w:rPr>
          <w:rFonts w:ascii="宋体" w:hAnsi="宋体" w:eastAsia="宋体" w:cs="宋体"/>
          <w:bCs/>
          <w:sz w:val="24"/>
          <w:szCs w:val="24"/>
          <w:lang w:eastAsia="zh-CN"/>
        </w:rPr>
        <w:t xml:space="preserve"> </w:t>
      </w:r>
      <w:r>
        <w:rPr>
          <w:rFonts w:ascii="宋体" w:hAnsi="宋体" w:eastAsia="宋体" w:cs="宋体"/>
          <w:bCs/>
          <w:sz w:val="24"/>
          <w:szCs w:val="24"/>
        </w:rPr>
        <w:t>内置120Ω终端电阻，接入可选</w:t>
      </w:r>
    </w:p>
    <w:p w14:paraId="1CEE6E2F">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评审指标83</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4</w:t>
      </w:r>
      <w:r>
        <w:rPr>
          <w:rFonts w:ascii="宋体" w:hAnsi="宋体" w:eastAsia="宋体" w:cs="宋体"/>
          <w:bCs/>
          <w:sz w:val="24"/>
          <w:szCs w:val="24"/>
          <w:lang w:eastAsia="zh-CN"/>
        </w:rPr>
        <w:t xml:space="preserve"> </w:t>
      </w:r>
      <w:r>
        <w:rPr>
          <w:rFonts w:ascii="宋体" w:hAnsi="宋体" w:eastAsia="宋体" w:cs="宋体"/>
          <w:bCs/>
          <w:sz w:val="24"/>
          <w:szCs w:val="24"/>
        </w:rPr>
        <w:t>支持CAN2.0B规范，兼容CAN2.0A</w:t>
      </w:r>
    </w:p>
    <w:p w14:paraId="0205B2AE">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评审指标84</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5</w:t>
      </w:r>
      <w:r>
        <w:rPr>
          <w:rFonts w:ascii="宋体" w:hAnsi="宋体" w:eastAsia="宋体" w:cs="宋体"/>
          <w:bCs/>
          <w:sz w:val="24"/>
          <w:szCs w:val="24"/>
          <w:lang w:eastAsia="zh-CN"/>
        </w:rPr>
        <w:t xml:space="preserve"> </w:t>
      </w:r>
      <w:r>
        <w:rPr>
          <w:rFonts w:ascii="宋体" w:hAnsi="宋体" w:eastAsia="宋体" w:cs="宋体"/>
          <w:bCs/>
          <w:sz w:val="24"/>
          <w:szCs w:val="24"/>
        </w:rPr>
        <w:t>CAN端口支持2000VDC耐压隔离</w:t>
      </w:r>
    </w:p>
    <w:p w14:paraId="2FA47A21">
      <w:pPr>
        <w:pStyle w:val="14"/>
        <w:spacing w:line="360" w:lineRule="auto"/>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评审指标85</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6</w:t>
      </w:r>
      <w:r>
        <w:rPr>
          <w:rFonts w:ascii="宋体" w:hAnsi="宋体" w:eastAsia="宋体" w:cs="宋体"/>
          <w:bCs/>
          <w:sz w:val="24"/>
          <w:szCs w:val="24"/>
          <w:lang w:eastAsia="zh-CN"/>
        </w:rPr>
        <w:t xml:space="preserve"> </w:t>
      </w:r>
      <w:r>
        <w:rPr>
          <w:rFonts w:ascii="宋体" w:hAnsi="宋体" w:eastAsia="宋体" w:cs="宋体"/>
          <w:bCs/>
          <w:sz w:val="24"/>
          <w:szCs w:val="24"/>
        </w:rPr>
        <w:t>支持12VDC供电、LAN通讯单独控制使用</w:t>
      </w:r>
    </w:p>
    <w:p w14:paraId="53EE1151">
      <w:pPr>
        <w:pStyle w:val="14"/>
        <w:spacing w:line="360" w:lineRule="auto"/>
        <w:jc w:val="both"/>
        <w:rPr>
          <w:rFonts w:hint="default" w:ascii="宋体" w:hAnsi="宋体" w:eastAsia="宋体" w:cs="宋体"/>
          <w:bCs/>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评审指标86</w:t>
      </w:r>
      <w:r>
        <w:rPr>
          <w:rFonts w:hint="eastAsia" w:ascii="宋体" w:hAnsi="宋体" w:cs="宋体"/>
          <w:b/>
          <w:bCs/>
          <w:color w:val="auto"/>
          <w:sz w:val="24"/>
          <w:szCs w:val="24"/>
          <w:lang w:eastAsia="zh-CN"/>
        </w:rPr>
        <w:t>）</w:t>
      </w:r>
      <w:r>
        <w:rPr>
          <w:rFonts w:ascii="宋体" w:hAnsi="宋体" w:eastAsia="宋体" w:cs="宋体"/>
          <w:bCs/>
          <w:sz w:val="24"/>
          <w:szCs w:val="24"/>
          <w:lang w:eastAsia="zh-CN"/>
        </w:rPr>
        <w:t>2.9.</w:t>
      </w:r>
      <w:r>
        <w:rPr>
          <w:rFonts w:ascii="宋体" w:hAnsi="宋体" w:eastAsia="宋体" w:cs="宋体"/>
          <w:bCs/>
          <w:sz w:val="24"/>
          <w:szCs w:val="24"/>
        </w:rPr>
        <w:t>7</w:t>
      </w:r>
      <w:r>
        <w:rPr>
          <w:rFonts w:ascii="宋体" w:hAnsi="宋体" w:eastAsia="宋体" w:cs="宋体"/>
          <w:bCs/>
          <w:sz w:val="24"/>
          <w:szCs w:val="24"/>
          <w:lang w:eastAsia="zh-CN"/>
        </w:rPr>
        <w:t xml:space="preserve"> </w:t>
      </w:r>
      <w:r>
        <w:rPr>
          <w:rFonts w:ascii="宋体" w:hAnsi="宋体" w:eastAsia="宋体" w:cs="宋体"/>
          <w:bCs/>
          <w:sz w:val="24"/>
          <w:szCs w:val="24"/>
        </w:rPr>
        <w:t>提供丰富的Labview、C#上位机开发例程</w:t>
      </w:r>
    </w:p>
    <w:p w14:paraId="007EE0E3">
      <w:pPr>
        <w:pStyle w:val="14"/>
        <w:spacing w:line="360" w:lineRule="auto"/>
        <w:rPr>
          <w:rFonts w:hint="default" w:ascii="宋体" w:hAnsi="宋体" w:eastAsia="宋体" w:cs="宋体"/>
          <w:b/>
          <w:bCs/>
          <w:sz w:val="24"/>
          <w:szCs w:val="24"/>
        </w:rPr>
      </w:pPr>
      <w:r>
        <w:rPr>
          <w:rFonts w:ascii="宋体" w:hAnsi="宋体" w:eastAsia="宋体" w:cs="宋体"/>
          <w:b/>
          <w:bCs/>
          <w:sz w:val="24"/>
          <w:szCs w:val="24"/>
        </w:rPr>
        <w:t>2.10 故障模拟功能</w:t>
      </w:r>
    </w:p>
    <w:p w14:paraId="1E861B64">
      <w:pPr>
        <w:pStyle w:val="14"/>
        <w:spacing w:line="360" w:lineRule="auto"/>
        <w:rPr>
          <w:rFonts w:hint="default" w:ascii="宋体" w:hAnsi="宋体" w:eastAsia="宋体" w:cs="宋体"/>
          <w:b/>
          <w:bCs/>
          <w:sz w:val="24"/>
          <w:szCs w:val="24"/>
        </w:rPr>
      </w:pPr>
      <w:r>
        <w:rPr>
          <w:rFonts w:ascii="宋体" w:hAnsi="宋体" w:eastAsia="宋体" w:cs="宋体"/>
          <w:b/>
          <w:bCs/>
          <w:sz w:val="24"/>
          <w:szCs w:val="24"/>
          <w:lang w:eastAsia="zh-CN"/>
        </w:rPr>
        <w:t xml:space="preserve">2.10.1 </w:t>
      </w:r>
      <w:r>
        <w:rPr>
          <w:rFonts w:ascii="宋体" w:hAnsi="宋体" w:eastAsia="宋体" w:cs="宋体"/>
          <w:b/>
          <w:bCs/>
          <w:sz w:val="24"/>
          <w:szCs w:val="24"/>
        </w:rPr>
        <w:t>1A继电器卡</w:t>
      </w:r>
    </w:p>
    <w:p w14:paraId="19D58447">
      <w:pPr>
        <w:pStyle w:val="16"/>
        <w:spacing w:line="360" w:lineRule="auto"/>
        <w:ind w:firstLine="0" w:firstLineChars="0"/>
        <w:rPr>
          <w:rFonts w:ascii="宋体" w:hAnsi="宋体" w:cs="宋体"/>
          <w:color w:val="000000"/>
          <w:sz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评审指标87</w:t>
      </w:r>
      <w:r>
        <w:rPr>
          <w:rFonts w:hint="eastAsia" w:ascii="宋体" w:hAnsi="宋体" w:cs="宋体"/>
          <w:b/>
          <w:bCs/>
          <w:color w:val="auto"/>
          <w:sz w:val="24"/>
          <w:szCs w:val="24"/>
          <w:lang w:eastAsia="zh-CN"/>
        </w:rPr>
        <w:t>）</w:t>
      </w:r>
      <w:r>
        <w:rPr>
          <w:rFonts w:hint="eastAsia" w:ascii="宋体" w:hAnsi="宋体" w:cs="宋体"/>
          <w:color w:val="000000"/>
          <w:sz w:val="24"/>
        </w:rPr>
        <w:t>1)具备24通道，支持SPST（单刀单掷）</w:t>
      </w:r>
    </w:p>
    <w:p w14:paraId="2F405892">
      <w:pPr>
        <w:pStyle w:val="14"/>
        <w:spacing w:line="360" w:lineRule="auto"/>
        <w:rPr>
          <w:rFonts w:hint="default" w:ascii="宋体" w:hAnsi="宋体" w:eastAsia="宋体" w:cs="宋体"/>
          <w:color w:val="000000"/>
          <w:kern w:val="2"/>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评审指标88</w:t>
      </w:r>
      <w:r>
        <w:rPr>
          <w:rFonts w:hint="eastAsia" w:ascii="宋体" w:hAnsi="宋体" w:cs="宋体"/>
          <w:b/>
          <w:bCs/>
          <w:color w:val="auto"/>
          <w:sz w:val="24"/>
          <w:szCs w:val="24"/>
          <w:lang w:eastAsia="zh-CN"/>
        </w:rPr>
        <w:t>）</w:t>
      </w:r>
      <w:r>
        <w:rPr>
          <w:rFonts w:ascii="宋体" w:hAnsi="宋体" w:eastAsia="宋体" w:cs="宋体"/>
          <w:color w:val="000000"/>
          <w:kern w:val="2"/>
          <w:sz w:val="24"/>
          <w:szCs w:val="24"/>
        </w:rPr>
        <w:t>2)开关负荷：0.5A/120VAC、1A/24VDC</w:t>
      </w:r>
    </w:p>
    <w:p w14:paraId="5292A0C8">
      <w:pPr>
        <w:pStyle w:val="14"/>
        <w:spacing w:line="360" w:lineRule="auto"/>
        <w:rPr>
          <w:rFonts w:hint="default" w:ascii="宋体" w:hAnsi="宋体" w:eastAsia="宋体" w:cs="宋体"/>
          <w:color w:val="000000"/>
          <w:kern w:val="2"/>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评审指标89</w:t>
      </w:r>
      <w:r>
        <w:rPr>
          <w:rFonts w:hint="eastAsia" w:ascii="宋体" w:hAnsi="宋体" w:cs="宋体"/>
          <w:b/>
          <w:bCs/>
          <w:color w:val="auto"/>
          <w:sz w:val="24"/>
          <w:szCs w:val="24"/>
          <w:lang w:eastAsia="zh-CN"/>
        </w:rPr>
        <w:t>）</w:t>
      </w:r>
      <w:r>
        <w:rPr>
          <w:rFonts w:ascii="宋体" w:hAnsi="宋体" w:eastAsia="宋体" w:cs="宋体"/>
          <w:color w:val="000000"/>
          <w:kern w:val="2"/>
          <w:sz w:val="24"/>
          <w:szCs w:val="24"/>
        </w:rPr>
        <w:t>3)</w:t>
      </w:r>
      <w:r>
        <w:rPr>
          <w:rFonts w:ascii="宋体" w:hAnsi="宋体" w:eastAsia="宋体" w:cs="宋体"/>
          <w:sz w:val="24"/>
          <w:szCs w:val="24"/>
        </w:rPr>
        <w:t>动作时间：10ms</w:t>
      </w:r>
      <w:r>
        <w:rPr>
          <w:rFonts w:hint="default" w:ascii="宋体" w:hAnsi="宋体" w:eastAsia="宋体" w:cs="宋体"/>
          <w:sz w:val="24"/>
          <w:szCs w:val="24"/>
        </w:rPr>
        <w:t>~100</w:t>
      </w:r>
      <w:r>
        <w:rPr>
          <w:rFonts w:ascii="宋体" w:hAnsi="宋体" w:eastAsia="宋体" w:cs="宋体"/>
          <w:sz w:val="24"/>
          <w:szCs w:val="24"/>
          <w:lang w:eastAsia="zh-CN"/>
        </w:rPr>
        <w:t>ms</w:t>
      </w:r>
      <w:r>
        <w:rPr>
          <w:rFonts w:ascii="宋体" w:hAnsi="宋体" w:eastAsia="宋体" w:cs="宋体"/>
          <w:sz w:val="24"/>
          <w:szCs w:val="24"/>
        </w:rPr>
        <w:t>（典型值）</w:t>
      </w:r>
    </w:p>
    <w:p w14:paraId="5E2F02A4">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评审指标90</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4)介电强度：线圈-触点4000VAC</w:t>
      </w:r>
      <w:r>
        <w:rPr>
          <w:rFonts w:ascii="宋体" w:hAnsi="宋体" w:eastAsia="宋体" w:cs="宋体"/>
          <w:color w:val="auto"/>
          <w:sz w:val="24"/>
          <w:szCs w:val="24"/>
          <w:highlight w:val="none"/>
          <w:lang w:eastAsia="zh-CN"/>
        </w:rPr>
        <w:t>以内</w:t>
      </w:r>
    </w:p>
    <w:p w14:paraId="4C8537FA">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评审指标91</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5)接触电阻：</w:t>
      </w:r>
      <w:r>
        <w:rPr>
          <w:rFonts w:ascii="等线" w:hAnsi="等线" w:eastAsia="等线" w:cs="宋体"/>
          <w:color w:val="auto"/>
          <w:sz w:val="24"/>
          <w:szCs w:val="24"/>
          <w:highlight w:val="none"/>
        </w:rPr>
        <w:t>≤</w:t>
      </w:r>
      <w:r>
        <w:rPr>
          <w:rFonts w:ascii="宋体" w:hAnsi="宋体" w:eastAsia="宋体" w:cs="宋体"/>
          <w:color w:val="auto"/>
          <w:sz w:val="24"/>
          <w:szCs w:val="24"/>
          <w:highlight w:val="none"/>
        </w:rPr>
        <w:t>150mΩ</w:t>
      </w:r>
    </w:p>
    <w:p w14:paraId="2DC148F7">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评审指标92</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6)机械寿命长达5x10000次</w:t>
      </w:r>
      <w:r>
        <w:rPr>
          <w:rFonts w:ascii="Arial" w:hAnsi="Arial" w:eastAsia="宋体" w:cs="Arial"/>
          <w:color w:val="auto"/>
          <w:sz w:val="24"/>
          <w:szCs w:val="24"/>
          <w:highlight w:val="none"/>
        </w:rPr>
        <w:t>~</w:t>
      </w:r>
      <w:r>
        <w:rPr>
          <w:rFonts w:ascii="宋体" w:hAnsi="宋体" w:eastAsia="宋体" w:cs="宋体"/>
          <w:color w:val="auto"/>
          <w:sz w:val="24"/>
          <w:szCs w:val="24"/>
          <w:highlight w:val="none"/>
        </w:rPr>
        <w:t>5x100000次</w:t>
      </w:r>
    </w:p>
    <w:p w14:paraId="6B18E8B8">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评审指标93</w:t>
      </w:r>
      <w:r>
        <w:rPr>
          <w:rFonts w:hint="eastAsia" w:ascii="宋体" w:hAnsi="宋体" w:cs="宋体"/>
          <w:b/>
          <w:bCs/>
          <w:color w:val="auto"/>
          <w:sz w:val="24"/>
          <w:szCs w:val="24"/>
          <w:lang w:eastAsia="zh-CN"/>
        </w:rPr>
        <w:t>）</w:t>
      </w:r>
      <w:r>
        <w:rPr>
          <w:rFonts w:ascii="宋体" w:hAnsi="宋体" w:eastAsia="宋体" w:cs="宋体"/>
          <w:sz w:val="24"/>
          <w:szCs w:val="24"/>
        </w:rPr>
        <w:t>7)支持LAN通讯单独控制使用</w:t>
      </w:r>
    </w:p>
    <w:p w14:paraId="35A4D581">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评审指标94</w:t>
      </w:r>
      <w:r>
        <w:rPr>
          <w:rFonts w:hint="eastAsia" w:ascii="宋体" w:hAnsi="宋体" w:cs="宋体"/>
          <w:b/>
          <w:bCs/>
          <w:color w:val="auto"/>
          <w:sz w:val="24"/>
          <w:szCs w:val="24"/>
          <w:lang w:eastAsia="zh-CN"/>
        </w:rPr>
        <w:t>）</w:t>
      </w:r>
      <w:r>
        <w:rPr>
          <w:rFonts w:ascii="宋体" w:hAnsi="宋体" w:eastAsia="宋体" w:cs="宋体"/>
          <w:sz w:val="24"/>
          <w:szCs w:val="24"/>
        </w:rPr>
        <w:t>8)提供DLL驱动文件，可用于C++、.NET、VB、Delphi等开发语言</w:t>
      </w:r>
    </w:p>
    <w:p w14:paraId="0F9F76AE">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评审指标95</w:t>
      </w:r>
      <w:r>
        <w:rPr>
          <w:rFonts w:hint="eastAsia" w:ascii="宋体" w:hAnsi="宋体" w:cs="宋体"/>
          <w:b/>
          <w:bCs/>
          <w:color w:val="auto"/>
          <w:sz w:val="24"/>
          <w:szCs w:val="24"/>
          <w:lang w:eastAsia="zh-CN"/>
        </w:rPr>
        <w:t>）</w:t>
      </w:r>
      <w:r>
        <w:rPr>
          <w:rFonts w:ascii="宋体" w:hAnsi="宋体" w:eastAsia="宋体" w:cs="宋体"/>
          <w:sz w:val="24"/>
          <w:szCs w:val="24"/>
        </w:rPr>
        <w:t>9)支持Modbus-RTU、SCPI协议</w:t>
      </w:r>
    </w:p>
    <w:p w14:paraId="42A21DB8">
      <w:pPr>
        <w:pStyle w:val="14"/>
        <w:spacing w:line="360" w:lineRule="auto"/>
        <w:rPr>
          <w:rFonts w:hint="default" w:ascii="宋体" w:hAnsi="宋体" w:eastAsia="宋体" w:cs="宋体"/>
          <w:b/>
          <w:bCs/>
          <w:sz w:val="24"/>
          <w:szCs w:val="24"/>
        </w:rPr>
      </w:pPr>
      <w:r>
        <w:rPr>
          <w:rFonts w:ascii="宋体" w:hAnsi="宋体" w:eastAsia="宋体" w:cs="宋体"/>
          <w:b/>
          <w:bCs/>
          <w:sz w:val="24"/>
          <w:szCs w:val="24"/>
          <w:lang w:eastAsia="zh-CN"/>
        </w:rPr>
        <w:t xml:space="preserve">2.10.2 </w:t>
      </w:r>
      <w:r>
        <w:rPr>
          <w:rFonts w:ascii="宋体" w:hAnsi="宋体" w:eastAsia="宋体" w:cs="宋体"/>
          <w:b/>
          <w:bCs/>
          <w:sz w:val="24"/>
          <w:szCs w:val="24"/>
        </w:rPr>
        <w:t>5A继电器卡</w:t>
      </w:r>
    </w:p>
    <w:p w14:paraId="605B0677">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评审指标96</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1)具备8通道，支持SPST（单刀单掷）</w:t>
      </w:r>
    </w:p>
    <w:p w14:paraId="1F13EF48">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评审指标97</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2)开关负荷：8A/250VAC、5A/30VDC</w:t>
      </w:r>
    </w:p>
    <w:p w14:paraId="5ACF4DC9">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评审指标98</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3)动作时间：10ms</w:t>
      </w:r>
      <w:r>
        <w:rPr>
          <w:rFonts w:ascii="Arial" w:hAnsi="Arial" w:eastAsia="宋体" w:cs="Arial"/>
          <w:bCs/>
          <w:color w:val="auto"/>
          <w:sz w:val="24"/>
          <w:szCs w:val="24"/>
          <w:highlight w:val="none"/>
        </w:rPr>
        <w:t>~</w:t>
      </w:r>
      <w:r>
        <w:rPr>
          <w:rFonts w:ascii="宋体" w:hAnsi="宋体" w:eastAsia="宋体" w:cs="宋体"/>
          <w:bCs/>
          <w:color w:val="auto"/>
          <w:sz w:val="24"/>
          <w:szCs w:val="24"/>
          <w:highlight w:val="none"/>
        </w:rPr>
        <w:t>100ms</w:t>
      </w:r>
      <w:r>
        <w:rPr>
          <w:rFonts w:ascii="宋体" w:hAnsi="宋体" w:eastAsia="宋体" w:cs="宋体"/>
          <w:color w:val="auto"/>
          <w:sz w:val="24"/>
          <w:szCs w:val="24"/>
          <w:highlight w:val="none"/>
        </w:rPr>
        <w:t>（典型值）</w:t>
      </w:r>
    </w:p>
    <w:p w14:paraId="5DE7ED70">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评审指标99</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4)介电强度：线圈-触点4000VAC</w:t>
      </w:r>
      <w:r>
        <w:rPr>
          <w:rFonts w:ascii="宋体" w:hAnsi="宋体" w:eastAsia="宋体" w:cs="宋体"/>
          <w:color w:val="auto"/>
          <w:sz w:val="24"/>
          <w:szCs w:val="24"/>
          <w:highlight w:val="none"/>
          <w:lang w:eastAsia="zh-CN"/>
        </w:rPr>
        <w:t>以内</w:t>
      </w:r>
    </w:p>
    <w:p w14:paraId="258CBE3A">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评审指标100</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5)接触电阻：</w:t>
      </w:r>
      <w:r>
        <w:rPr>
          <w:rFonts w:ascii="等线" w:hAnsi="等线" w:eastAsia="等线" w:cs="宋体"/>
          <w:color w:val="auto"/>
          <w:sz w:val="24"/>
          <w:szCs w:val="24"/>
          <w:highlight w:val="none"/>
        </w:rPr>
        <w:t>≤</w:t>
      </w:r>
      <w:r>
        <w:rPr>
          <w:rFonts w:ascii="宋体" w:hAnsi="宋体" w:eastAsia="宋体" w:cs="宋体"/>
          <w:color w:val="auto"/>
          <w:sz w:val="24"/>
          <w:szCs w:val="24"/>
          <w:highlight w:val="none"/>
        </w:rPr>
        <w:t>150mΩ</w:t>
      </w:r>
    </w:p>
    <w:p w14:paraId="236A7710">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评审指标101</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6)机械寿命长达100000次以上</w:t>
      </w:r>
    </w:p>
    <w:p w14:paraId="466658EF">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评审指标102</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7)支持LAN通讯单独控制使用</w:t>
      </w:r>
    </w:p>
    <w:p w14:paraId="5F6EA489">
      <w:pPr>
        <w:pStyle w:val="14"/>
        <w:spacing w:line="360" w:lineRule="auto"/>
        <w:rPr>
          <w:rFonts w:hint="default" w:ascii="宋体" w:hAnsi="宋体" w:eastAsia="宋体" w:cs="宋体"/>
          <w:color w:val="auto"/>
          <w:sz w:val="24"/>
          <w:szCs w:val="24"/>
          <w:highlight w:val="none"/>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评审指标103</w:t>
      </w:r>
      <w:r>
        <w:rPr>
          <w:rFonts w:hint="eastAsia" w:ascii="宋体" w:hAnsi="宋体" w:cs="宋体"/>
          <w:b/>
          <w:bCs/>
          <w:color w:val="auto"/>
          <w:sz w:val="24"/>
          <w:szCs w:val="24"/>
          <w:lang w:eastAsia="zh-CN"/>
        </w:rPr>
        <w:t>）</w:t>
      </w:r>
      <w:r>
        <w:rPr>
          <w:rFonts w:ascii="宋体" w:hAnsi="宋体" w:eastAsia="宋体" w:cs="宋体"/>
          <w:color w:val="auto"/>
          <w:sz w:val="24"/>
          <w:szCs w:val="24"/>
          <w:highlight w:val="none"/>
        </w:rPr>
        <w:t>8)支持Modbus-RTU、SCPI协议</w:t>
      </w:r>
    </w:p>
    <w:p w14:paraId="65801D9D">
      <w:pPr>
        <w:spacing w:line="360" w:lineRule="auto"/>
        <w:rPr>
          <w:rFonts w:ascii="宋体" w:hAnsi="宋体" w:eastAsia="宋体" w:cs="宋体"/>
          <w:b/>
          <w:bCs/>
          <w:sz w:val="24"/>
          <w:szCs w:val="24"/>
        </w:rPr>
      </w:pPr>
      <w:r>
        <w:rPr>
          <w:rFonts w:hint="eastAsia" w:ascii="宋体" w:hAnsi="宋体" w:eastAsia="宋体" w:cs="宋体"/>
          <w:b/>
          <w:bCs/>
          <w:sz w:val="24"/>
          <w:szCs w:val="24"/>
        </w:rPr>
        <w:t>2.11 分流器模拟/霍尔模拟单单元</w:t>
      </w:r>
    </w:p>
    <w:p w14:paraId="7EFD0DFC">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评审指标104</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1</w:t>
      </w:r>
      <w:r>
        <w:rPr>
          <w:rFonts w:ascii="宋体" w:hAnsi="宋体" w:eastAsia="宋体" w:cs="宋体"/>
          <w:sz w:val="24"/>
          <w:szCs w:val="24"/>
          <w:lang w:eastAsia="zh-CN"/>
        </w:rPr>
        <w:t xml:space="preserve"> </w:t>
      </w:r>
      <w:r>
        <w:rPr>
          <w:rFonts w:ascii="宋体" w:hAnsi="宋体" w:eastAsia="宋体" w:cs="宋体"/>
          <w:sz w:val="24"/>
          <w:szCs w:val="24"/>
        </w:rPr>
        <w:t>模拟输出范围：±5V、±200mV、±200mA</w:t>
      </w:r>
    </w:p>
    <w:p w14:paraId="4D0E89B6">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评审指标105</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2</w:t>
      </w:r>
      <w:r>
        <w:rPr>
          <w:rFonts w:ascii="宋体" w:hAnsi="宋体" w:eastAsia="宋体" w:cs="宋体"/>
          <w:sz w:val="24"/>
          <w:szCs w:val="24"/>
          <w:lang w:eastAsia="zh-CN"/>
        </w:rPr>
        <w:t xml:space="preserve"> </w:t>
      </w:r>
      <w:r>
        <w:rPr>
          <w:rFonts w:ascii="宋体" w:hAnsi="宋体" w:eastAsia="宋体" w:cs="宋体"/>
          <w:sz w:val="24"/>
          <w:szCs w:val="24"/>
        </w:rPr>
        <w:t>4通道模拟输出，通道间隔离</w:t>
      </w:r>
    </w:p>
    <w:p w14:paraId="41C5ED0C">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评审指标106</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输出分辨率：</w:t>
      </w: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rPr>
        <w:t>16位</w:t>
      </w:r>
    </w:p>
    <w:p w14:paraId="6123CEB5">
      <w:pPr>
        <w:pStyle w:val="14"/>
        <w:spacing w:line="360" w:lineRule="auto"/>
        <w:rPr>
          <w:rFonts w:hint="default" w:ascii="宋体" w:hAnsi="宋体" w:eastAsia="宋体" w:cs="宋体"/>
          <w:sz w:val="24"/>
          <w:szCs w:val="24"/>
        </w:rPr>
      </w:pPr>
      <w:r>
        <w:rPr>
          <w:rFonts w:ascii="宋体" w:hAnsi="宋体" w:eastAsia="宋体" w:cs="宋体"/>
          <w:sz w:val="24"/>
          <w:szCs w:val="24"/>
        </w:rPr>
        <w:t>▲</w:t>
      </w:r>
      <w:r>
        <w:rPr>
          <w:rFonts w:ascii="宋体" w:hAnsi="宋体" w:eastAsia="宋体" w:cs="宋体"/>
          <w:sz w:val="24"/>
          <w:szCs w:val="24"/>
          <w:lang w:eastAsia="zh-CN"/>
        </w:rPr>
        <w:t>2.11.</w:t>
      </w:r>
      <w:r>
        <w:rPr>
          <w:rFonts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电压精度高达0.03%+0.02%F.S.</w:t>
      </w:r>
    </w:p>
    <w:p w14:paraId="35BDDE6E">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评审指标107</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5</w:t>
      </w:r>
      <w:r>
        <w:rPr>
          <w:rFonts w:ascii="宋体" w:hAnsi="宋体" w:eastAsia="宋体" w:cs="宋体"/>
          <w:sz w:val="24"/>
          <w:szCs w:val="24"/>
          <w:lang w:eastAsia="zh-CN"/>
        </w:rPr>
        <w:t xml:space="preserve"> </w:t>
      </w:r>
      <w:r>
        <w:rPr>
          <w:rFonts w:ascii="宋体" w:hAnsi="宋体" w:eastAsia="宋体" w:cs="宋体"/>
          <w:sz w:val="24"/>
          <w:szCs w:val="24"/>
        </w:rPr>
        <w:t>电流精度：0.05%+0.05%F.S.</w:t>
      </w:r>
    </w:p>
    <w:p w14:paraId="500AF249">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评审指标108</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6</w:t>
      </w:r>
      <w:r>
        <w:rPr>
          <w:rFonts w:ascii="宋体" w:hAnsi="宋体" w:eastAsia="宋体" w:cs="宋体"/>
          <w:sz w:val="24"/>
          <w:szCs w:val="24"/>
          <w:lang w:eastAsia="zh-CN"/>
        </w:rPr>
        <w:t xml:space="preserve"> </w:t>
      </w:r>
      <w:r>
        <w:rPr>
          <w:rFonts w:ascii="宋体" w:hAnsi="宋体" w:eastAsia="宋体" w:cs="宋体"/>
          <w:sz w:val="24"/>
          <w:szCs w:val="24"/>
        </w:rPr>
        <w:t>支持各通道独立配置电压/电流</w:t>
      </w:r>
    </w:p>
    <w:p w14:paraId="4EFDA991">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评审指标109</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7</w:t>
      </w:r>
      <w:r>
        <w:rPr>
          <w:rFonts w:ascii="宋体" w:hAnsi="宋体" w:eastAsia="宋体" w:cs="宋体"/>
          <w:sz w:val="24"/>
          <w:szCs w:val="24"/>
          <w:lang w:eastAsia="zh-CN"/>
        </w:rPr>
        <w:t xml:space="preserve"> </w:t>
      </w:r>
      <w:r>
        <w:rPr>
          <w:rFonts w:ascii="宋体" w:hAnsi="宋体" w:eastAsia="宋体" w:cs="宋体"/>
          <w:sz w:val="24"/>
          <w:szCs w:val="24"/>
        </w:rPr>
        <w:t>提供DLL驱动文件，可用于C++、.NET、VB、Delphi等开发语言</w:t>
      </w:r>
    </w:p>
    <w:p w14:paraId="745F11B7">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评审指标110</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8</w:t>
      </w:r>
      <w:r>
        <w:rPr>
          <w:rFonts w:ascii="宋体" w:hAnsi="宋体" w:eastAsia="宋体" w:cs="宋体"/>
          <w:sz w:val="24"/>
          <w:szCs w:val="24"/>
          <w:lang w:eastAsia="zh-CN"/>
        </w:rPr>
        <w:t xml:space="preserve"> </w:t>
      </w:r>
      <w:r>
        <w:rPr>
          <w:rFonts w:ascii="宋体" w:hAnsi="宋体" w:eastAsia="宋体" w:cs="宋体"/>
          <w:sz w:val="24"/>
          <w:szCs w:val="24"/>
        </w:rPr>
        <w:t>支持Modbus-RTU、SCPI、CANopen协议</w:t>
      </w:r>
    </w:p>
    <w:p w14:paraId="7E3784D9">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评审指标111</w:t>
      </w:r>
      <w:r>
        <w:rPr>
          <w:rFonts w:hint="eastAsia" w:ascii="宋体" w:hAnsi="宋体" w:cs="宋体"/>
          <w:b/>
          <w:bCs/>
          <w:color w:val="auto"/>
          <w:sz w:val="24"/>
          <w:szCs w:val="24"/>
          <w:lang w:eastAsia="zh-CN"/>
        </w:rPr>
        <w:t>）</w:t>
      </w:r>
      <w:r>
        <w:rPr>
          <w:rFonts w:ascii="宋体" w:hAnsi="宋体" w:eastAsia="宋体" w:cs="宋体"/>
          <w:sz w:val="24"/>
          <w:szCs w:val="24"/>
          <w:lang w:eastAsia="zh-CN"/>
        </w:rPr>
        <w:t>2.11.</w:t>
      </w:r>
      <w:r>
        <w:rPr>
          <w:rFonts w:ascii="宋体" w:hAnsi="宋体" w:eastAsia="宋体" w:cs="宋体"/>
          <w:sz w:val="24"/>
          <w:szCs w:val="24"/>
        </w:rPr>
        <w:t>9</w:t>
      </w:r>
      <w:r>
        <w:rPr>
          <w:rFonts w:ascii="宋体" w:hAnsi="宋体" w:eastAsia="宋体" w:cs="宋体"/>
          <w:sz w:val="24"/>
          <w:szCs w:val="24"/>
          <w:lang w:eastAsia="zh-CN"/>
        </w:rPr>
        <w:t xml:space="preserve"> </w:t>
      </w:r>
      <w:r>
        <w:rPr>
          <w:rFonts w:ascii="宋体" w:hAnsi="宋体" w:eastAsia="宋体" w:cs="宋体"/>
          <w:sz w:val="24"/>
          <w:szCs w:val="24"/>
        </w:rPr>
        <w:t>支持LAN通讯单独控制使用</w:t>
      </w:r>
    </w:p>
    <w:p w14:paraId="500F4C9E">
      <w:pPr>
        <w:spacing w:line="360" w:lineRule="auto"/>
        <w:rPr>
          <w:rFonts w:ascii="宋体" w:hAnsi="宋体" w:eastAsia="宋体" w:cs="宋体"/>
          <w:b/>
          <w:bCs/>
          <w:sz w:val="24"/>
          <w:szCs w:val="24"/>
        </w:rPr>
      </w:pPr>
      <w:r>
        <w:rPr>
          <w:rFonts w:hint="eastAsia" w:ascii="宋体" w:hAnsi="宋体" w:eastAsia="宋体" w:cs="宋体"/>
          <w:b/>
          <w:bCs/>
          <w:sz w:val="24"/>
          <w:szCs w:val="24"/>
        </w:rPr>
        <w:t xml:space="preserve">2.12 阻抗稳定网络 </w:t>
      </w:r>
    </w:p>
    <w:p w14:paraId="3ED70915">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评审指标112</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1</w:t>
      </w:r>
      <w:r>
        <w:rPr>
          <w:rFonts w:ascii="宋体" w:hAnsi="宋体" w:eastAsia="宋体" w:cs="宋体"/>
          <w:sz w:val="24"/>
          <w:szCs w:val="24"/>
          <w:lang w:eastAsia="zh-CN"/>
        </w:rPr>
        <w:t xml:space="preserve"> </w:t>
      </w:r>
      <w:r>
        <w:rPr>
          <w:rFonts w:ascii="宋体" w:hAnsi="宋体" w:eastAsia="宋体" w:cs="宋体"/>
          <w:sz w:val="24"/>
          <w:szCs w:val="24"/>
        </w:rPr>
        <w:t>频率范围：150 kHz- 30 MHz</w:t>
      </w:r>
    </w:p>
    <w:p w14:paraId="5A843FAC">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评审指标113</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2</w:t>
      </w:r>
      <w:r>
        <w:rPr>
          <w:rFonts w:ascii="宋体" w:hAnsi="宋体" w:eastAsia="宋体" w:cs="宋体"/>
          <w:sz w:val="24"/>
          <w:szCs w:val="24"/>
          <w:lang w:eastAsia="zh-CN"/>
        </w:rPr>
        <w:t xml:space="preserve"> </w:t>
      </w:r>
      <w:r>
        <w:rPr>
          <w:rFonts w:ascii="宋体" w:hAnsi="宋体" w:eastAsia="宋体" w:cs="宋体"/>
          <w:sz w:val="24"/>
          <w:szCs w:val="24"/>
        </w:rPr>
        <w:t>最大连续电流：800 A</w:t>
      </w:r>
    </w:p>
    <w:p w14:paraId="1E8B898B">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评审指标114</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3</w:t>
      </w:r>
      <w:r>
        <w:rPr>
          <w:rFonts w:ascii="宋体" w:hAnsi="宋体" w:eastAsia="宋体" w:cs="宋体"/>
          <w:sz w:val="24"/>
          <w:szCs w:val="24"/>
          <w:lang w:eastAsia="zh-CN"/>
        </w:rPr>
        <w:t xml:space="preserve"> </w:t>
      </w:r>
      <w:r>
        <w:rPr>
          <w:rFonts w:ascii="宋体" w:hAnsi="宋体" w:eastAsia="宋体" w:cs="宋体"/>
          <w:sz w:val="24"/>
          <w:szCs w:val="24"/>
        </w:rPr>
        <w:t>最大电流（限时）：1000 A</w:t>
      </w:r>
    </w:p>
    <w:p w14:paraId="6A286E16">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评审指标115</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4</w:t>
      </w:r>
      <w:r>
        <w:rPr>
          <w:rFonts w:ascii="宋体" w:hAnsi="宋体" w:eastAsia="宋体" w:cs="宋体"/>
          <w:sz w:val="24"/>
          <w:szCs w:val="24"/>
          <w:lang w:eastAsia="zh-CN"/>
        </w:rPr>
        <w:t xml:space="preserve"> </w:t>
      </w:r>
      <w:r>
        <w:rPr>
          <w:rFonts w:ascii="宋体" w:hAnsi="宋体" w:eastAsia="宋体" w:cs="宋体"/>
          <w:sz w:val="24"/>
          <w:szCs w:val="24"/>
        </w:rPr>
        <w:t>最大电压（直流）：1000 V</w:t>
      </w:r>
    </w:p>
    <w:p w14:paraId="2C1444F8">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评审指标116</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5</w:t>
      </w:r>
      <w:r>
        <w:rPr>
          <w:rFonts w:ascii="宋体" w:hAnsi="宋体" w:eastAsia="宋体" w:cs="宋体"/>
          <w:sz w:val="24"/>
          <w:szCs w:val="24"/>
          <w:lang w:eastAsia="zh-CN"/>
        </w:rPr>
        <w:t xml:space="preserve"> </w:t>
      </w:r>
      <w:r>
        <w:rPr>
          <w:rFonts w:ascii="宋体" w:hAnsi="宋体" w:eastAsia="宋体" w:cs="宋体"/>
          <w:sz w:val="24"/>
          <w:szCs w:val="24"/>
        </w:rPr>
        <w:t>最大电压（交流 50/60 Hz）：1000 V</w:t>
      </w:r>
    </w:p>
    <w:p w14:paraId="20A6A50E">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评审指标117</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6</w:t>
      </w:r>
      <w:r>
        <w:rPr>
          <w:rFonts w:ascii="宋体" w:hAnsi="宋体" w:eastAsia="宋体" w:cs="宋体"/>
          <w:sz w:val="24"/>
          <w:szCs w:val="24"/>
          <w:lang w:eastAsia="zh-CN"/>
        </w:rPr>
        <w:t xml:space="preserve"> </w:t>
      </w:r>
      <w:r>
        <w:rPr>
          <w:rFonts w:ascii="宋体" w:hAnsi="宋体" w:eastAsia="宋体" w:cs="宋体"/>
          <w:sz w:val="24"/>
          <w:szCs w:val="24"/>
        </w:rPr>
        <w:t>最大电压（交流400 Hz）：500V</w:t>
      </w:r>
    </w:p>
    <w:p w14:paraId="3416BE16">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评审指标118</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7</w:t>
      </w:r>
      <w:r>
        <w:rPr>
          <w:rFonts w:ascii="宋体" w:hAnsi="宋体" w:eastAsia="宋体" w:cs="宋体"/>
          <w:sz w:val="24"/>
          <w:szCs w:val="24"/>
          <w:lang w:eastAsia="zh-CN"/>
        </w:rPr>
        <w:t xml:space="preserve"> </w:t>
      </w:r>
      <w:r>
        <w:rPr>
          <w:rFonts w:ascii="宋体" w:hAnsi="宋体" w:eastAsia="宋体" w:cs="宋体"/>
          <w:sz w:val="24"/>
          <w:szCs w:val="24"/>
        </w:rPr>
        <w:t>阻抗:50 μH|50Ω（+/-20 %）</w:t>
      </w:r>
    </w:p>
    <w:p w14:paraId="67872E14">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评审指标119</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8</w:t>
      </w:r>
      <w:r>
        <w:rPr>
          <w:rFonts w:ascii="宋体" w:hAnsi="宋体" w:eastAsia="宋体" w:cs="宋体"/>
          <w:sz w:val="24"/>
          <w:szCs w:val="24"/>
          <w:lang w:eastAsia="zh-CN"/>
        </w:rPr>
        <w:t xml:space="preserve"> </w:t>
      </w:r>
      <w:r>
        <w:rPr>
          <w:rFonts w:ascii="宋体" w:hAnsi="宋体" w:eastAsia="宋体" w:cs="宋体"/>
          <w:sz w:val="24"/>
          <w:szCs w:val="24"/>
        </w:rPr>
        <w:t>直流电阻（主电源-EuT）：&lt;3 mΩ</w:t>
      </w:r>
    </w:p>
    <w:p w14:paraId="47FF982C">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评审指标120</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9</w:t>
      </w:r>
      <w:r>
        <w:rPr>
          <w:rFonts w:ascii="宋体" w:hAnsi="宋体" w:eastAsia="宋体" w:cs="宋体"/>
          <w:sz w:val="24"/>
          <w:szCs w:val="24"/>
          <w:lang w:eastAsia="zh-CN"/>
        </w:rPr>
        <w:t xml:space="preserve"> </w:t>
      </w:r>
      <w:r>
        <w:rPr>
          <w:rFonts w:ascii="宋体" w:hAnsi="宋体" w:eastAsia="宋体" w:cs="宋体"/>
          <w:sz w:val="24"/>
          <w:szCs w:val="24"/>
        </w:rPr>
        <w:t>阻抗（50 Hz）：16 mΩ</w:t>
      </w:r>
    </w:p>
    <w:p w14:paraId="337DA0D5">
      <w:pPr>
        <w:pStyle w:val="14"/>
        <w:spacing w:line="360" w:lineRule="auto"/>
        <w:ind w:left="425" w:hanging="425"/>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评审指标121</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10</w:t>
      </w:r>
      <w:r>
        <w:rPr>
          <w:rFonts w:ascii="宋体" w:hAnsi="宋体" w:eastAsia="宋体" w:cs="宋体"/>
          <w:sz w:val="24"/>
          <w:szCs w:val="24"/>
          <w:lang w:eastAsia="zh-CN"/>
        </w:rPr>
        <w:t xml:space="preserve"> </w:t>
      </w:r>
      <w:r>
        <w:rPr>
          <w:rFonts w:ascii="宋体" w:hAnsi="宋体" w:eastAsia="宋体" w:cs="宋体"/>
          <w:sz w:val="24"/>
          <w:szCs w:val="24"/>
        </w:rPr>
        <w:t>EuT连接器：翼型端子M16x1.5 可拆卸</w:t>
      </w:r>
    </w:p>
    <w:p w14:paraId="1B9A0DD9">
      <w:pPr>
        <w:pStyle w:val="14"/>
        <w:spacing w:line="360" w:lineRule="auto"/>
        <w:ind w:left="425" w:hanging="425"/>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评审指标122</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11</w:t>
      </w:r>
      <w:r>
        <w:rPr>
          <w:rFonts w:ascii="宋体" w:hAnsi="宋体" w:eastAsia="宋体" w:cs="宋体"/>
          <w:sz w:val="24"/>
          <w:szCs w:val="24"/>
          <w:lang w:eastAsia="zh-CN"/>
        </w:rPr>
        <w:t xml:space="preserve"> </w:t>
      </w:r>
      <w:r>
        <w:rPr>
          <w:rFonts w:ascii="宋体" w:hAnsi="宋体" w:eastAsia="宋体" w:cs="宋体"/>
          <w:sz w:val="24"/>
          <w:szCs w:val="24"/>
        </w:rPr>
        <w:t>铝型材机架，2个独立机柜，一个放置2台阻抗稳定</w:t>
      </w:r>
    </w:p>
    <w:p w14:paraId="3C3646E2">
      <w:pPr>
        <w:pStyle w:val="14"/>
        <w:spacing w:line="360" w:lineRule="auto"/>
        <w:ind w:left="425" w:hanging="425"/>
        <w:rPr>
          <w:rFonts w:ascii="宋体" w:hAnsi="宋体" w:eastAsia="宋体" w:cs="宋体"/>
          <w:sz w:val="24"/>
          <w:szCs w:val="24"/>
        </w:rPr>
      </w:pPr>
      <w:r>
        <w:rPr>
          <w:rFonts w:ascii="宋体" w:hAnsi="宋体" w:eastAsia="宋体" w:cs="宋体"/>
          <w:sz w:val="24"/>
          <w:szCs w:val="24"/>
        </w:rPr>
        <w:t>网络，一个放置2台阻抗稳定网络和一个射频开关（带远程光纤控制的射频开关</w:t>
      </w:r>
    </w:p>
    <w:p w14:paraId="77742A2E">
      <w:pPr>
        <w:pStyle w:val="14"/>
        <w:spacing w:line="360" w:lineRule="auto"/>
        <w:ind w:left="425" w:hanging="425"/>
        <w:rPr>
          <w:rFonts w:ascii="宋体" w:hAnsi="宋体" w:eastAsia="宋体" w:cs="宋体"/>
          <w:sz w:val="24"/>
          <w:szCs w:val="24"/>
        </w:rPr>
      </w:pPr>
      <w:r>
        <w:rPr>
          <w:rFonts w:ascii="宋体" w:hAnsi="宋体" w:eastAsia="宋体" w:cs="宋体"/>
          <w:sz w:val="24"/>
          <w:szCs w:val="24"/>
        </w:rPr>
        <w:t>（用于控制2个单线LISN的RF端口切换（未选中端口自动端接50Ω负载），</w:t>
      </w:r>
    </w:p>
    <w:p w14:paraId="758FE4D7">
      <w:pPr>
        <w:pStyle w:val="14"/>
        <w:spacing w:line="360" w:lineRule="auto"/>
        <w:ind w:left="425" w:hanging="425"/>
        <w:rPr>
          <w:rFonts w:hint="default" w:ascii="宋体" w:hAnsi="宋体" w:eastAsia="宋体" w:cs="宋体"/>
          <w:sz w:val="24"/>
          <w:szCs w:val="24"/>
        </w:rPr>
      </w:pPr>
      <w:r>
        <w:rPr>
          <w:rFonts w:ascii="宋体" w:hAnsi="宋体" w:eastAsia="宋体" w:cs="宋体"/>
          <w:sz w:val="24"/>
          <w:szCs w:val="24"/>
        </w:rPr>
        <w:t xml:space="preserve">内置限幅器，EMC加固） </w:t>
      </w:r>
    </w:p>
    <w:p w14:paraId="75F5504E">
      <w:pPr>
        <w:pStyle w:val="14"/>
        <w:spacing w:line="360" w:lineRule="auto"/>
        <w:ind w:left="425" w:hanging="425"/>
        <w:rPr>
          <w:rFonts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评审指标123</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hint="default" w:ascii="宋体" w:hAnsi="宋体" w:eastAsia="宋体" w:cs="宋体"/>
          <w:sz w:val="24"/>
          <w:szCs w:val="24"/>
        </w:rPr>
        <w:t>12</w:t>
      </w:r>
      <w:r>
        <w:rPr>
          <w:rFonts w:ascii="宋体" w:hAnsi="宋体" w:eastAsia="宋体" w:cs="宋体"/>
          <w:sz w:val="24"/>
          <w:szCs w:val="24"/>
          <w:lang w:eastAsia="zh-CN"/>
        </w:rPr>
        <w:t xml:space="preserve"> </w:t>
      </w:r>
      <w:r>
        <w:rPr>
          <w:rFonts w:ascii="宋体" w:hAnsi="宋体" w:eastAsia="宋体" w:cs="宋体"/>
          <w:sz w:val="24"/>
          <w:szCs w:val="24"/>
        </w:rPr>
        <w:t>4条射频电缆，分别连接4台LISN的RF输出和射频</w:t>
      </w:r>
    </w:p>
    <w:p w14:paraId="2C4B07AA">
      <w:pPr>
        <w:pStyle w:val="14"/>
        <w:spacing w:line="360" w:lineRule="auto"/>
        <w:ind w:left="425" w:hanging="425"/>
        <w:rPr>
          <w:rFonts w:hint="default" w:ascii="宋体" w:hAnsi="宋体" w:eastAsia="宋体" w:cs="宋体"/>
          <w:sz w:val="24"/>
          <w:szCs w:val="24"/>
        </w:rPr>
      </w:pPr>
      <w:r>
        <w:rPr>
          <w:rFonts w:ascii="宋体" w:hAnsi="宋体" w:eastAsia="宋体" w:cs="宋体"/>
          <w:sz w:val="24"/>
          <w:szCs w:val="24"/>
        </w:rPr>
        <w:t>开关的RF输入</w:t>
      </w:r>
    </w:p>
    <w:p w14:paraId="5571CC77">
      <w:pPr>
        <w:pStyle w:val="14"/>
        <w:spacing w:line="360" w:lineRule="auto"/>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评审指标124</w:t>
      </w:r>
      <w:r>
        <w:rPr>
          <w:rFonts w:hint="eastAsia" w:ascii="宋体" w:hAnsi="宋体" w:cs="宋体"/>
          <w:b/>
          <w:bCs/>
          <w:color w:val="auto"/>
          <w:sz w:val="24"/>
          <w:szCs w:val="24"/>
          <w:lang w:eastAsia="zh-CN"/>
        </w:rPr>
        <w:t>）</w:t>
      </w:r>
      <w:r>
        <w:rPr>
          <w:rFonts w:ascii="宋体" w:hAnsi="宋体" w:eastAsia="宋体" w:cs="宋体"/>
          <w:sz w:val="24"/>
          <w:szCs w:val="24"/>
          <w:lang w:eastAsia="zh-CN"/>
        </w:rPr>
        <w:t>2.12.</w:t>
      </w:r>
      <w:r>
        <w:rPr>
          <w:rFonts w:ascii="宋体" w:hAnsi="宋体" w:eastAsia="宋体" w:cs="宋体"/>
          <w:sz w:val="24"/>
          <w:szCs w:val="24"/>
        </w:rPr>
        <w:t>13</w:t>
      </w:r>
      <w:r>
        <w:rPr>
          <w:rFonts w:ascii="宋体" w:hAnsi="宋体" w:eastAsia="宋体" w:cs="宋体"/>
          <w:sz w:val="24"/>
          <w:szCs w:val="24"/>
          <w:lang w:eastAsia="zh-CN"/>
        </w:rPr>
        <w:t xml:space="preserve"> </w:t>
      </w:r>
      <w:r>
        <w:rPr>
          <w:rFonts w:ascii="宋体" w:hAnsi="宋体" w:eastAsia="宋体" w:cs="宋体"/>
          <w:sz w:val="24"/>
          <w:szCs w:val="24"/>
        </w:rPr>
        <w:t>阻抗稳定网络4台，满足三相四线大功率产品远程测试需求。</w:t>
      </w:r>
    </w:p>
    <w:p w14:paraId="09BDC48E">
      <w:pPr>
        <w:pStyle w:val="14"/>
        <w:spacing w:line="360" w:lineRule="auto"/>
        <w:rPr>
          <w:rFonts w:hint="default" w:ascii="宋体" w:hAnsi="宋体" w:eastAsia="宋体" w:cs="宋体"/>
          <w:sz w:val="24"/>
          <w:szCs w:val="24"/>
          <w:highlight w:val="none"/>
        </w:rPr>
      </w:pPr>
      <w:r>
        <w:rPr>
          <w:rFonts w:ascii="宋体" w:hAnsi="宋体" w:eastAsia="宋体" w:cs="宋体"/>
          <w:b/>
          <w:sz w:val="24"/>
          <w:szCs w:val="24"/>
          <w:highlight w:val="none"/>
        </w:rPr>
        <w:t>3</w:t>
      </w:r>
      <w:r>
        <w:rPr>
          <w:rFonts w:ascii="宋体" w:hAnsi="宋体" w:eastAsia="宋体" w:cs="宋体"/>
          <w:b/>
          <w:sz w:val="24"/>
          <w:szCs w:val="24"/>
          <w:highlight w:val="none"/>
          <w:lang w:eastAsia="zh-CN"/>
        </w:rPr>
        <w:t>.</w:t>
      </w:r>
      <w:r>
        <w:rPr>
          <w:rFonts w:ascii="宋体" w:hAnsi="宋体" w:eastAsia="宋体" w:cs="宋体"/>
          <w:b/>
          <w:sz w:val="24"/>
          <w:szCs w:val="24"/>
          <w:highlight w:val="none"/>
        </w:rPr>
        <w:t>BMS系统测试软件</w:t>
      </w:r>
    </w:p>
    <w:p w14:paraId="502A2E76">
      <w:pPr>
        <w:pStyle w:val="14"/>
        <w:spacing w:line="360" w:lineRule="auto"/>
        <w:jc w:val="both"/>
        <w:rPr>
          <w:rFonts w:hint="default" w:ascii="宋体" w:hAnsi="宋体" w:eastAsia="宋体" w:cs="宋体"/>
          <w:sz w:val="24"/>
          <w:szCs w:val="24"/>
        </w:rPr>
      </w:pPr>
      <w:bookmarkStart w:id="22" w:name="OLE_LINK9"/>
      <w:r>
        <w:rPr>
          <w:rFonts w:ascii="宋体" w:hAnsi="宋体" w:eastAsia="宋体" w:cs="宋体"/>
          <w:sz w:val="24"/>
          <w:szCs w:val="24"/>
          <w:highlight w:val="none"/>
        </w:rPr>
        <w:t>▲</w:t>
      </w:r>
      <w:r>
        <w:rPr>
          <w:rFonts w:ascii="宋体" w:hAnsi="宋体" w:eastAsia="宋体" w:cs="宋体"/>
          <w:sz w:val="24"/>
          <w:szCs w:val="24"/>
        </w:rPr>
        <w:t>3.1</w:t>
      </w:r>
      <w:bookmarkEnd w:id="22"/>
      <w:r>
        <w:rPr>
          <w:rFonts w:ascii="宋体" w:hAnsi="宋体" w:eastAsia="宋体" w:cs="宋体"/>
          <w:sz w:val="24"/>
          <w:szCs w:val="24"/>
          <w:lang w:eastAsia="zh-CN"/>
        </w:rPr>
        <w:t xml:space="preserve"> </w:t>
      </w:r>
      <w:r>
        <w:rPr>
          <w:rFonts w:ascii="宋体" w:hAnsi="宋体" w:eastAsia="宋体" w:cs="宋体"/>
          <w:sz w:val="24"/>
          <w:szCs w:val="24"/>
        </w:rPr>
        <w:t>软硬件项目必需完全满足GB/T 34131-2023 《电力储能用电池管理系统》中测试内容：</w:t>
      </w:r>
    </w:p>
    <w:tbl>
      <w:tblPr>
        <w:tblStyle w:val="11"/>
        <w:tblW w:w="5309" w:type="pct"/>
        <w:tblInd w:w="0" w:type="dxa"/>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Layout w:type="fixed"/>
        <w:tblCellMar>
          <w:top w:w="0" w:type="dxa"/>
          <w:left w:w="0" w:type="dxa"/>
          <w:bottom w:w="0" w:type="dxa"/>
          <w:right w:w="0" w:type="dxa"/>
        </w:tblCellMar>
      </w:tblPr>
      <w:tblGrid>
        <w:gridCol w:w="791"/>
        <w:gridCol w:w="2190"/>
        <w:gridCol w:w="2276"/>
        <w:gridCol w:w="2444"/>
        <w:gridCol w:w="1129"/>
      </w:tblGrid>
      <w:tr w14:paraId="380F69B4">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448" w:type="pct"/>
            <w:shd w:val="clear" w:color="auto" w:fill="auto"/>
            <w:vAlign w:val="center"/>
          </w:tcPr>
          <w:p w14:paraId="7D454B84">
            <w:pPr>
              <w:spacing w:line="400" w:lineRule="exact"/>
              <w:jc w:val="center"/>
              <w:rPr>
                <w:sz w:val="24"/>
                <w:szCs w:val="28"/>
              </w:rPr>
            </w:pPr>
            <w:r>
              <w:rPr>
                <w:rFonts w:hint="eastAsia"/>
                <w:sz w:val="24"/>
                <w:szCs w:val="28"/>
              </w:rPr>
              <w:t>序号</w:t>
            </w:r>
          </w:p>
        </w:tc>
        <w:tc>
          <w:tcPr>
            <w:tcW w:w="1239" w:type="pct"/>
            <w:shd w:val="clear" w:color="auto" w:fill="auto"/>
            <w:vAlign w:val="center"/>
          </w:tcPr>
          <w:p w14:paraId="666F014F">
            <w:pPr>
              <w:spacing w:line="400" w:lineRule="exact"/>
              <w:jc w:val="center"/>
              <w:rPr>
                <w:sz w:val="24"/>
                <w:szCs w:val="28"/>
              </w:rPr>
            </w:pPr>
            <w:r>
              <w:rPr>
                <w:rFonts w:hint="eastAsia"/>
                <w:sz w:val="24"/>
                <w:szCs w:val="28"/>
              </w:rPr>
              <w:t>检验项目</w:t>
            </w:r>
          </w:p>
        </w:tc>
        <w:tc>
          <w:tcPr>
            <w:tcW w:w="1288" w:type="pct"/>
            <w:shd w:val="clear" w:color="auto" w:fill="auto"/>
            <w:vAlign w:val="center"/>
          </w:tcPr>
          <w:p w14:paraId="4B92255D">
            <w:pPr>
              <w:spacing w:line="400" w:lineRule="exact"/>
              <w:jc w:val="center"/>
              <w:rPr>
                <w:sz w:val="24"/>
                <w:szCs w:val="28"/>
              </w:rPr>
            </w:pPr>
            <w:r>
              <w:rPr>
                <w:rFonts w:hint="eastAsia"/>
                <w:sz w:val="24"/>
                <w:szCs w:val="28"/>
              </w:rPr>
              <w:t>技术要求（章条号）</w:t>
            </w:r>
          </w:p>
        </w:tc>
        <w:tc>
          <w:tcPr>
            <w:tcW w:w="1383" w:type="pct"/>
            <w:shd w:val="clear" w:color="auto" w:fill="auto"/>
            <w:vAlign w:val="center"/>
          </w:tcPr>
          <w:p w14:paraId="40B04FAE">
            <w:pPr>
              <w:spacing w:line="400" w:lineRule="exact"/>
              <w:jc w:val="center"/>
              <w:rPr>
                <w:sz w:val="24"/>
                <w:szCs w:val="28"/>
              </w:rPr>
            </w:pPr>
            <w:r>
              <w:rPr>
                <w:rFonts w:hint="eastAsia"/>
                <w:sz w:val="24"/>
                <w:szCs w:val="28"/>
              </w:rPr>
              <w:t>检验方法 （章条号）</w:t>
            </w:r>
          </w:p>
        </w:tc>
        <w:tc>
          <w:tcPr>
            <w:tcW w:w="639" w:type="pct"/>
            <w:shd w:val="clear" w:color="auto" w:fill="auto"/>
            <w:vAlign w:val="center"/>
          </w:tcPr>
          <w:p w14:paraId="46ED9975">
            <w:pPr>
              <w:spacing w:line="400" w:lineRule="exact"/>
              <w:jc w:val="center"/>
              <w:rPr>
                <w:sz w:val="24"/>
                <w:szCs w:val="28"/>
              </w:rPr>
            </w:pPr>
            <w:r>
              <w:rPr>
                <w:rFonts w:hint="eastAsia"/>
                <w:sz w:val="24"/>
                <w:szCs w:val="28"/>
              </w:rPr>
              <w:t>必要</w:t>
            </w:r>
          </w:p>
          <w:p w14:paraId="2424EFC7">
            <w:pPr>
              <w:spacing w:line="400" w:lineRule="exact"/>
              <w:jc w:val="center"/>
              <w:rPr>
                <w:sz w:val="24"/>
                <w:szCs w:val="28"/>
              </w:rPr>
            </w:pPr>
            <w:r>
              <w:rPr>
                <w:rFonts w:hint="eastAsia"/>
                <w:sz w:val="24"/>
                <w:szCs w:val="28"/>
              </w:rPr>
              <w:t>检验</w:t>
            </w:r>
          </w:p>
        </w:tc>
      </w:tr>
      <w:tr w14:paraId="601D6664">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4256F203">
            <w:pPr>
              <w:spacing w:before="62"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239" w:type="pct"/>
            <w:shd w:val="clear" w:color="auto" w:fill="auto"/>
          </w:tcPr>
          <w:p w14:paraId="1C8F2BD8">
            <w:pPr>
              <w:spacing w:before="31" w:line="360" w:lineRule="auto"/>
              <w:jc w:val="center"/>
              <w:rPr>
                <w:rFonts w:ascii="宋体" w:hAnsi="宋体" w:eastAsia="宋体" w:cs="宋体"/>
                <w:sz w:val="24"/>
                <w:szCs w:val="24"/>
              </w:rPr>
            </w:pPr>
            <w:r>
              <w:rPr>
                <w:rFonts w:hint="eastAsia" w:ascii="宋体" w:hAnsi="宋体" w:eastAsia="宋体" w:cs="宋体"/>
                <w:spacing w:val="5"/>
                <w:sz w:val="24"/>
                <w:szCs w:val="24"/>
              </w:rPr>
              <w:t>电池电压</w:t>
            </w:r>
          </w:p>
        </w:tc>
        <w:tc>
          <w:tcPr>
            <w:tcW w:w="1288" w:type="pct"/>
            <w:shd w:val="clear" w:color="auto" w:fill="auto"/>
            <w:vAlign w:val="center"/>
          </w:tcPr>
          <w:p w14:paraId="3B91AD46">
            <w:pPr>
              <w:tabs>
                <w:tab w:val="right" w:leader="dot" w:pos="9298"/>
              </w:tabs>
              <w:spacing w:line="360" w:lineRule="auto"/>
              <w:jc w:val="center"/>
              <w:rPr>
                <w:rFonts w:ascii="宋体" w:hAnsi="宋体" w:eastAsia="宋体" w:cs="宋体"/>
                <w:sz w:val="24"/>
                <w:szCs w:val="24"/>
              </w:rPr>
            </w:pPr>
            <w:r>
              <w:rPr>
                <w:rFonts w:hint="eastAsia" w:ascii="宋体" w:hAnsi="宋体" w:eastAsia="宋体" w:cs="宋体"/>
                <w:sz w:val="24"/>
                <w:szCs w:val="24"/>
              </w:rPr>
              <w:t>6.2.1/6.2.2</w:t>
            </w:r>
          </w:p>
        </w:tc>
        <w:tc>
          <w:tcPr>
            <w:tcW w:w="1383" w:type="pct"/>
            <w:shd w:val="clear" w:color="auto" w:fill="auto"/>
          </w:tcPr>
          <w:p w14:paraId="5EB12BEC">
            <w:pPr>
              <w:spacing w:before="63" w:line="360" w:lineRule="auto"/>
              <w:jc w:val="center"/>
              <w:rPr>
                <w:rFonts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7"/>
                <w:sz w:val="24"/>
                <w:szCs w:val="24"/>
              </w:rPr>
              <w:t>.4.1</w:t>
            </w:r>
          </w:p>
        </w:tc>
        <w:tc>
          <w:tcPr>
            <w:tcW w:w="639" w:type="pct"/>
            <w:shd w:val="clear" w:color="auto" w:fill="auto"/>
          </w:tcPr>
          <w:p w14:paraId="4DEEE03D">
            <w:pPr>
              <w:spacing w:before="31"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1A25478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8" w:type="pct"/>
            <w:shd w:val="clear" w:color="auto" w:fill="auto"/>
          </w:tcPr>
          <w:p w14:paraId="62EDE92F">
            <w:pPr>
              <w:spacing w:before="65"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239" w:type="pct"/>
            <w:shd w:val="clear" w:color="auto" w:fill="auto"/>
          </w:tcPr>
          <w:p w14:paraId="5C17AEA0">
            <w:pPr>
              <w:spacing w:before="32" w:line="360" w:lineRule="auto"/>
              <w:jc w:val="center"/>
              <w:rPr>
                <w:rFonts w:ascii="宋体" w:hAnsi="宋体" w:eastAsia="宋体" w:cs="宋体"/>
                <w:sz w:val="24"/>
                <w:szCs w:val="24"/>
              </w:rPr>
            </w:pPr>
            <w:r>
              <w:rPr>
                <w:rFonts w:hint="eastAsia" w:ascii="宋体" w:hAnsi="宋体" w:eastAsia="宋体" w:cs="宋体"/>
                <w:spacing w:val="5"/>
                <w:sz w:val="24"/>
                <w:szCs w:val="24"/>
              </w:rPr>
              <w:t>电池簇电流</w:t>
            </w:r>
          </w:p>
        </w:tc>
        <w:tc>
          <w:tcPr>
            <w:tcW w:w="1288" w:type="pct"/>
            <w:shd w:val="clear" w:color="auto" w:fill="auto"/>
            <w:vAlign w:val="center"/>
          </w:tcPr>
          <w:p w14:paraId="13932850">
            <w:pPr>
              <w:tabs>
                <w:tab w:val="right" w:leader="dot" w:pos="9298"/>
              </w:tabs>
              <w:spacing w:line="360" w:lineRule="auto"/>
              <w:jc w:val="center"/>
              <w:rPr>
                <w:rFonts w:ascii="宋体" w:hAnsi="宋体" w:eastAsia="宋体" w:cs="宋体"/>
                <w:sz w:val="24"/>
                <w:szCs w:val="24"/>
              </w:rPr>
            </w:pPr>
            <w:r>
              <w:rPr>
                <w:rFonts w:hint="eastAsia" w:ascii="宋体" w:hAnsi="宋体" w:eastAsia="宋体" w:cs="宋体"/>
                <w:sz w:val="24"/>
                <w:szCs w:val="24"/>
              </w:rPr>
              <w:t>6.2.1/6.2.2</w:t>
            </w:r>
          </w:p>
        </w:tc>
        <w:tc>
          <w:tcPr>
            <w:tcW w:w="1383" w:type="pct"/>
            <w:shd w:val="clear" w:color="auto" w:fill="auto"/>
          </w:tcPr>
          <w:p w14:paraId="0F7E4607">
            <w:pPr>
              <w:spacing w:before="65" w:line="360" w:lineRule="auto"/>
              <w:jc w:val="center"/>
              <w:rPr>
                <w:rFonts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7"/>
                <w:sz w:val="24"/>
                <w:szCs w:val="24"/>
              </w:rPr>
              <w:t>.4.2</w:t>
            </w:r>
          </w:p>
        </w:tc>
        <w:tc>
          <w:tcPr>
            <w:tcW w:w="639" w:type="pct"/>
            <w:shd w:val="clear" w:color="auto" w:fill="auto"/>
          </w:tcPr>
          <w:p w14:paraId="7A514086">
            <w:pPr>
              <w:spacing w:before="32"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6219039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23368ADF">
            <w:pPr>
              <w:spacing w:before="65" w:line="360" w:lineRule="auto"/>
              <w:jc w:val="center"/>
              <w:rPr>
                <w:rFonts w:ascii="宋体" w:hAnsi="宋体" w:eastAsia="宋体" w:cs="宋体"/>
                <w:sz w:val="24"/>
                <w:szCs w:val="24"/>
              </w:rPr>
            </w:pPr>
            <w:r>
              <w:rPr>
                <w:rFonts w:hint="eastAsia" w:ascii="宋体" w:hAnsi="宋体" w:eastAsia="宋体" w:cs="宋体"/>
                <w:sz w:val="24"/>
                <w:szCs w:val="24"/>
              </w:rPr>
              <w:t>3</w:t>
            </w:r>
          </w:p>
        </w:tc>
        <w:tc>
          <w:tcPr>
            <w:tcW w:w="1239" w:type="pct"/>
            <w:shd w:val="clear" w:color="auto" w:fill="auto"/>
          </w:tcPr>
          <w:p w14:paraId="7E7A4BA6">
            <w:pPr>
              <w:spacing w:before="32" w:line="360" w:lineRule="auto"/>
              <w:jc w:val="center"/>
              <w:rPr>
                <w:rFonts w:ascii="宋体" w:hAnsi="宋体" w:eastAsia="宋体" w:cs="宋体"/>
                <w:sz w:val="24"/>
                <w:szCs w:val="24"/>
              </w:rPr>
            </w:pPr>
            <w:r>
              <w:rPr>
                <w:rFonts w:hint="eastAsia" w:ascii="宋体" w:hAnsi="宋体" w:eastAsia="宋体" w:cs="宋体"/>
                <w:spacing w:val="4"/>
                <w:sz w:val="24"/>
                <w:szCs w:val="24"/>
              </w:rPr>
              <w:t>温</w:t>
            </w:r>
            <w:r>
              <w:rPr>
                <w:rFonts w:hint="eastAsia" w:ascii="宋体" w:hAnsi="宋体" w:eastAsia="宋体" w:cs="宋体"/>
                <w:spacing w:val="3"/>
                <w:sz w:val="24"/>
                <w:szCs w:val="24"/>
              </w:rPr>
              <w:t>度</w:t>
            </w:r>
          </w:p>
        </w:tc>
        <w:tc>
          <w:tcPr>
            <w:tcW w:w="1288" w:type="pct"/>
            <w:shd w:val="clear" w:color="auto" w:fill="auto"/>
          </w:tcPr>
          <w:p w14:paraId="34B519D0">
            <w:pPr>
              <w:spacing w:before="65" w:line="360" w:lineRule="auto"/>
              <w:jc w:val="center"/>
              <w:rPr>
                <w:rFonts w:ascii="宋体" w:hAnsi="宋体" w:eastAsia="宋体" w:cs="宋体"/>
                <w:sz w:val="24"/>
                <w:szCs w:val="24"/>
              </w:rPr>
            </w:pPr>
            <w:r>
              <w:rPr>
                <w:rFonts w:hint="eastAsia" w:ascii="宋体" w:hAnsi="宋体" w:eastAsia="宋体" w:cs="宋体"/>
                <w:spacing w:val="5"/>
                <w:sz w:val="24"/>
                <w:szCs w:val="24"/>
              </w:rPr>
              <w:t>6.2.1</w:t>
            </w:r>
          </w:p>
        </w:tc>
        <w:tc>
          <w:tcPr>
            <w:tcW w:w="1383" w:type="pct"/>
            <w:shd w:val="clear" w:color="auto" w:fill="auto"/>
          </w:tcPr>
          <w:p w14:paraId="22AC19CE">
            <w:pPr>
              <w:spacing w:before="65" w:line="360" w:lineRule="auto"/>
              <w:jc w:val="center"/>
              <w:rPr>
                <w:rFonts w:ascii="宋体" w:hAnsi="宋体" w:eastAsia="宋体" w:cs="宋体"/>
                <w:sz w:val="24"/>
                <w:szCs w:val="24"/>
              </w:rPr>
            </w:pPr>
            <w:r>
              <w:rPr>
                <w:rFonts w:hint="eastAsia" w:ascii="宋体" w:hAnsi="宋体" w:eastAsia="宋体" w:cs="宋体"/>
                <w:spacing w:val="8"/>
                <w:sz w:val="24"/>
                <w:szCs w:val="24"/>
              </w:rPr>
              <w:t>7</w:t>
            </w:r>
            <w:r>
              <w:rPr>
                <w:rFonts w:hint="eastAsia" w:ascii="宋体" w:hAnsi="宋体" w:eastAsia="宋体" w:cs="宋体"/>
                <w:spacing w:val="7"/>
                <w:sz w:val="24"/>
                <w:szCs w:val="24"/>
              </w:rPr>
              <w:t>.4.3</w:t>
            </w:r>
          </w:p>
        </w:tc>
        <w:tc>
          <w:tcPr>
            <w:tcW w:w="639" w:type="pct"/>
            <w:shd w:val="clear" w:color="auto" w:fill="auto"/>
          </w:tcPr>
          <w:p w14:paraId="3F66B420">
            <w:pPr>
              <w:spacing w:before="32"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59C26905">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74ACB5FD">
            <w:pPr>
              <w:spacing w:before="65" w:line="360" w:lineRule="auto"/>
              <w:jc w:val="center"/>
              <w:rPr>
                <w:rFonts w:ascii="宋体" w:hAnsi="宋体" w:eastAsia="宋体" w:cs="宋体"/>
                <w:sz w:val="24"/>
                <w:szCs w:val="24"/>
              </w:rPr>
            </w:pPr>
            <w:r>
              <w:rPr>
                <w:rFonts w:hint="eastAsia" w:ascii="宋体" w:hAnsi="宋体" w:eastAsia="宋体" w:cs="宋体"/>
                <w:sz w:val="24"/>
                <w:szCs w:val="24"/>
              </w:rPr>
              <w:t>4</w:t>
            </w:r>
          </w:p>
        </w:tc>
        <w:tc>
          <w:tcPr>
            <w:tcW w:w="1239" w:type="pct"/>
            <w:shd w:val="clear" w:color="auto" w:fill="auto"/>
          </w:tcPr>
          <w:p w14:paraId="20CE92D7">
            <w:pPr>
              <w:spacing w:before="34" w:line="360" w:lineRule="auto"/>
              <w:jc w:val="center"/>
              <w:rPr>
                <w:rFonts w:ascii="宋体" w:hAnsi="宋体" w:eastAsia="宋体" w:cs="宋体"/>
                <w:sz w:val="24"/>
                <w:szCs w:val="24"/>
              </w:rPr>
            </w:pPr>
            <w:r>
              <w:rPr>
                <w:rFonts w:hint="eastAsia" w:ascii="宋体" w:hAnsi="宋体" w:eastAsia="宋体" w:cs="宋体"/>
                <w:spacing w:val="5"/>
                <w:sz w:val="24"/>
                <w:szCs w:val="24"/>
              </w:rPr>
              <w:t>通信</w:t>
            </w:r>
          </w:p>
        </w:tc>
        <w:tc>
          <w:tcPr>
            <w:tcW w:w="1288" w:type="pct"/>
            <w:shd w:val="clear" w:color="auto" w:fill="auto"/>
          </w:tcPr>
          <w:p w14:paraId="2FE3F32F">
            <w:pPr>
              <w:spacing w:before="67" w:line="360" w:lineRule="auto"/>
              <w:jc w:val="center"/>
              <w:rPr>
                <w:rFonts w:ascii="宋体" w:hAnsi="宋体" w:eastAsia="宋体" w:cs="宋体"/>
                <w:sz w:val="24"/>
                <w:szCs w:val="24"/>
              </w:rPr>
            </w:pPr>
            <w:r>
              <w:rPr>
                <w:rFonts w:hint="eastAsia" w:ascii="宋体" w:hAnsi="宋体" w:eastAsia="宋体" w:cs="宋体"/>
                <w:spacing w:val="4"/>
                <w:sz w:val="24"/>
                <w:szCs w:val="24"/>
              </w:rPr>
              <w:t>6.3</w:t>
            </w:r>
          </w:p>
        </w:tc>
        <w:tc>
          <w:tcPr>
            <w:tcW w:w="1383" w:type="pct"/>
            <w:shd w:val="clear" w:color="auto" w:fill="auto"/>
          </w:tcPr>
          <w:p w14:paraId="56F52AF0">
            <w:pPr>
              <w:spacing w:before="67" w:line="360" w:lineRule="auto"/>
              <w:jc w:val="center"/>
              <w:rPr>
                <w:rFonts w:ascii="宋体" w:hAnsi="宋体" w:eastAsia="宋体" w:cs="宋体"/>
                <w:sz w:val="24"/>
                <w:szCs w:val="24"/>
              </w:rPr>
            </w:pPr>
            <w:r>
              <w:rPr>
                <w:rFonts w:hint="eastAsia" w:ascii="宋体" w:hAnsi="宋体" w:eastAsia="宋体" w:cs="宋体"/>
                <w:spacing w:val="5"/>
                <w:sz w:val="24"/>
                <w:szCs w:val="24"/>
              </w:rPr>
              <w:t>7.5</w:t>
            </w:r>
          </w:p>
        </w:tc>
        <w:tc>
          <w:tcPr>
            <w:tcW w:w="639" w:type="pct"/>
            <w:shd w:val="clear" w:color="auto" w:fill="auto"/>
          </w:tcPr>
          <w:p w14:paraId="167D235D">
            <w:pPr>
              <w:spacing w:before="34"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58EB32AE">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1243D48A">
            <w:pPr>
              <w:spacing w:before="66" w:line="360" w:lineRule="auto"/>
              <w:jc w:val="center"/>
              <w:rPr>
                <w:rFonts w:ascii="宋体" w:hAnsi="宋体" w:eastAsia="宋体" w:cs="宋体"/>
                <w:sz w:val="24"/>
                <w:szCs w:val="24"/>
              </w:rPr>
            </w:pPr>
            <w:r>
              <w:rPr>
                <w:rFonts w:hint="eastAsia" w:ascii="宋体" w:hAnsi="宋体" w:eastAsia="宋体" w:cs="宋体"/>
                <w:spacing w:val="-8"/>
                <w:sz w:val="24"/>
                <w:szCs w:val="24"/>
              </w:rPr>
              <w:t>5</w:t>
            </w:r>
          </w:p>
        </w:tc>
        <w:tc>
          <w:tcPr>
            <w:tcW w:w="1239" w:type="pct"/>
            <w:shd w:val="clear" w:color="auto" w:fill="auto"/>
          </w:tcPr>
          <w:p w14:paraId="4F3D5EF0">
            <w:pPr>
              <w:spacing w:before="32" w:line="360" w:lineRule="auto"/>
              <w:jc w:val="center"/>
              <w:rPr>
                <w:rFonts w:ascii="宋体" w:hAnsi="宋体" w:eastAsia="宋体" w:cs="宋体"/>
                <w:sz w:val="24"/>
                <w:szCs w:val="24"/>
              </w:rPr>
            </w:pPr>
            <w:r>
              <w:rPr>
                <w:rFonts w:hint="eastAsia" w:ascii="宋体" w:hAnsi="宋体" w:eastAsia="宋体" w:cs="宋体"/>
                <w:spacing w:val="8"/>
                <w:sz w:val="24"/>
                <w:szCs w:val="24"/>
              </w:rPr>
              <w:t>报警和保护</w:t>
            </w:r>
          </w:p>
        </w:tc>
        <w:tc>
          <w:tcPr>
            <w:tcW w:w="1288" w:type="pct"/>
            <w:shd w:val="clear" w:color="auto" w:fill="auto"/>
          </w:tcPr>
          <w:p w14:paraId="00700EDC">
            <w:pPr>
              <w:spacing w:before="66" w:line="360" w:lineRule="auto"/>
              <w:jc w:val="center"/>
              <w:rPr>
                <w:rFonts w:ascii="宋体" w:hAnsi="宋体" w:eastAsia="宋体" w:cs="宋体"/>
                <w:sz w:val="24"/>
                <w:szCs w:val="24"/>
              </w:rPr>
            </w:pPr>
            <w:r>
              <w:rPr>
                <w:rFonts w:hint="eastAsia" w:ascii="宋体" w:hAnsi="宋体" w:eastAsia="宋体" w:cs="宋体"/>
                <w:spacing w:val="7"/>
                <w:sz w:val="24"/>
                <w:szCs w:val="24"/>
              </w:rPr>
              <w:t>6.4</w:t>
            </w:r>
          </w:p>
        </w:tc>
        <w:tc>
          <w:tcPr>
            <w:tcW w:w="1383" w:type="pct"/>
            <w:shd w:val="clear" w:color="auto" w:fill="auto"/>
          </w:tcPr>
          <w:p w14:paraId="65F6B016">
            <w:pPr>
              <w:spacing w:before="66" w:line="360" w:lineRule="auto"/>
              <w:jc w:val="center"/>
              <w:rPr>
                <w:rFonts w:ascii="宋体" w:hAnsi="宋体" w:eastAsia="宋体" w:cs="宋体"/>
                <w:sz w:val="24"/>
                <w:szCs w:val="24"/>
              </w:rPr>
            </w:pPr>
            <w:r>
              <w:rPr>
                <w:rFonts w:hint="eastAsia" w:ascii="宋体" w:hAnsi="宋体" w:eastAsia="宋体" w:cs="宋体"/>
                <w:spacing w:val="5"/>
                <w:sz w:val="24"/>
                <w:szCs w:val="24"/>
              </w:rPr>
              <w:t>7.6</w:t>
            </w:r>
          </w:p>
        </w:tc>
        <w:tc>
          <w:tcPr>
            <w:tcW w:w="639" w:type="pct"/>
            <w:shd w:val="clear" w:color="auto" w:fill="auto"/>
          </w:tcPr>
          <w:p w14:paraId="43CE359A">
            <w:pPr>
              <w:spacing w:before="33"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6EE46A3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52041FF7">
            <w:pPr>
              <w:spacing w:before="64" w:line="360" w:lineRule="auto"/>
              <w:jc w:val="center"/>
              <w:rPr>
                <w:rFonts w:ascii="宋体" w:hAnsi="宋体" w:eastAsia="宋体" w:cs="宋体"/>
                <w:sz w:val="24"/>
                <w:szCs w:val="24"/>
              </w:rPr>
            </w:pPr>
            <w:r>
              <w:rPr>
                <w:rFonts w:hint="eastAsia" w:ascii="宋体" w:hAnsi="宋体" w:eastAsia="宋体" w:cs="宋体"/>
                <w:spacing w:val="-8"/>
                <w:sz w:val="24"/>
                <w:szCs w:val="24"/>
              </w:rPr>
              <w:t>6</w:t>
            </w:r>
          </w:p>
        </w:tc>
        <w:tc>
          <w:tcPr>
            <w:tcW w:w="1239" w:type="pct"/>
            <w:shd w:val="clear" w:color="auto" w:fill="auto"/>
          </w:tcPr>
          <w:p w14:paraId="034B3002">
            <w:pPr>
              <w:spacing w:before="35" w:line="360" w:lineRule="auto"/>
              <w:jc w:val="center"/>
              <w:rPr>
                <w:rFonts w:ascii="宋体" w:hAnsi="宋体" w:eastAsia="宋体" w:cs="宋体"/>
                <w:sz w:val="24"/>
                <w:szCs w:val="24"/>
              </w:rPr>
            </w:pPr>
            <w:r>
              <w:rPr>
                <w:rFonts w:hint="eastAsia" w:ascii="宋体" w:hAnsi="宋体" w:eastAsia="宋体" w:cs="宋体"/>
                <w:spacing w:val="9"/>
                <w:sz w:val="24"/>
                <w:szCs w:val="24"/>
              </w:rPr>
              <w:t>控</w:t>
            </w:r>
            <w:r>
              <w:rPr>
                <w:rFonts w:hint="eastAsia" w:ascii="宋体" w:hAnsi="宋体" w:eastAsia="宋体" w:cs="宋体"/>
                <w:spacing w:val="7"/>
                <w:sz w:val="24"/>
                <w:szCs w:val="24"/>
              </w:rPr>
              <w:t>制</w:t>
            </w:r>
          </w:p>
        </w:tc>
        <w:tc>
          <w:tcPr>
            <w:tcW w:w="1288" w:type="pct"/>
            <w:shd w:val="clear" w:color="auto" w:fill="auto"/>
          </w:tcPr>
          <w:p w14:paraId="767D7811">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6.5</w:t>
            </w:r>
          </w:p>
        </w:tc>
        <w:tc>
          <w:tcPr>
            <w:tcW w:w="1383" w:type="pct"/>
            <w:shd w:val="clear" w:color="auto" w:fill="auto"/>
          </w:tcPr>
          <w:p w14:paraId="46741EFC">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7.7</w:t>
            </w:r>
          </w:p>
        </w:tc>
        <w:tc>
          <w:tcPr>
            <w:tcW w:w="639" w:type="pct"/>
            <w:shd w:val="clear" w:color="auto" w:fill="auto"/>
          </w:tcPr>
          <w:p w14:paraId="6FD58F39">
            <w:pPr>
              <w:spacing w:before="35"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50CD12BF">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4BCB2754">
            <w:pPr>
              <w:spacing w:before="68" w:line="360" w:lineRule="auto"/>
              <w:jc w:val="center"/>
              <w:rPr>
                <w:rFonts w:ascii="宋体" w:hAnsi="宋体" w:eastAsia="宋体" w:cs="宋体"/>
                <w:sz w:val="24"/>
                <w:szCs w:val="24"/>
              </w:rPr>
            </w:pPr>
            <w:r>
              <w:rPr>
                <w:rFonts w:hint="eastAsia" w:ascii="宋体" w:hAnsi="宋体" w:eastAsia="宋体" w:cs="宋体"/>
                <w:sz w:val="24"/>
                <w:szCs w:val="24"/>
              </w:rPr>
              <w:t>7</w:t>
            </w:r>
          </w:p>
        </w:tc>
        <w:tc>
          <w:tcPr>
            <w:tcW w:w="1239" w:type="pct"/>
            <w:shd w:val="clear" w:color="auto" w:fill="auto"/>
          </w:tcPr>
          <w:p w14:paraId="4BB0A4A5">
            <w:pPr>
              <w:spacing w:before="33" w:line="360" w:lineRule="auto"/>
              <w:jc w:val="center"/>
              <w:rPr>
                <w:rFonts w:ascii="宋体" w:hAnsi="宋体" w:eastAsia="宋体" w:cs="宋体"/>
                <w:sz w:val="24"/>
                <w:szCs w:val="24"/>
              </w:rPr>
            </w:pPr>
            <w:r>
              <w:rPr>
                <w:rFonts w:hint="eastAsia" w:ascii="宋体" w:hAnsi="宋体" w:eastAsia="宋体" w:cs="宋体"/>
                <w:sz w:val="24"/>
                <w:szCs w:val="24"/>
              </w:rPr>
              <w:t>能量状态</w:t>
            </w:r>
            <w:r>
              <w:rPr>
                <w:rFonts w:hint="eastAsia" w:ascii="宋体" w:hAnsi="宋体" w:eastAsia="宋体" w:cs="宋体"/>
                <w:spacing w:val="2"/>
                <w:sz w:val="24"/>
                <w:szCs w:val="24"/>
              </w:rPr>
              <w:t>估算</w:t>
            </w:r>
          </w:p>
        </w:tc>
        <w:tc>
          <w:tcPr>
            <w:tcW w:w="1288" w:type="pct"/>
            <w:shd w:val="clear" w:color="auto" w:fill="auto"/>
          </w:tcPr>
          <w:p w14:paraId="52A933B1">
            <w:pPr>
              <w:spacing w:before="66" w:line="360" w:lineRule="auto"/>
              <w:jc w:val="center"/>
              <w:rPr>
                <w:rFonts w:ascii="宋体" w:hAnsi="宋体" w:eastAsia="宋体" w:cs="宋体"/>
                <w:sz w:val="24"/>
                <w:szCs w:val="24"/>
              </w:rPr>
            </w:pPr>
            <w:r>
              <w:rPr>
                <w:rFonts w:hint="eastAsia" w:ascii="宋体" w:hAnsi="宋体" w:eastAsia="宋体" w:cs="宋体"/>
                <w:spacing w:val="4"/>
                <w:sz w:val="24"/>
                <w:szCs w:val="24"/>
              </w:rPr>
              <w:t>6.6</w:t>
            </w:r>
          </w:p>
        </w:tc>
        <w:tc>
          <w:tcPr>
            <w:tcW w:w="1383" w:type="pct"/>
            <w:shd w:val="clear" w:color="auto" w:fill="auto"/>
          </w:tcPr>
          <w:p w14:paraId="403100C4">
            <w:pPr>
              <w:spacing w:before="66" w:line="360" w:lineRule="auto"/>
              <w:jc w:val="center"/>
              <w:rPr>
                <w:rFonts w:ascii="宋体" w:hAnsi="宋体" w:eastAsia="宋体" w:cs="宋体"/>
                <w:sz w:val="24"/>
                <w:szCs w:val="24"/>
              </w:rPr>
            </w:pPr>
            <w:r>
              <w:rPr>
                <w:rFonts w:hint="eastAsia" w:ascii="宋体" w:hAnsi="宋体" w:eastAsia="宋体" w:cs="宋体"/>
                <w:spacing w:val="5"/>
                <w:sz w:val="24"/>
                <w:szCs w:val="24"/>
              </w:rPr>
              <w:t>7.8</w:t>
            </w:r>
          </w:p>
        </w:tc>
        <w:tc>
          <w:tcPr>
            <w:tcW w:w="639" w:type="pct"/>
            <w:shd w:val="clear" w:color="auto" w:fill="auto"/>
          </w:tcPr>
          <w:p w14:paraId="32F73586">
            <w:pPr>
              <w:spacing w:before="32"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537180EC">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448" w:type="pct"/>
            <w:shd w:val="clear" w:color="auto" w:fill="auto"/>
          </w:tcPr>
          <w:p w14:paraId="665504A6">
            <w:pPr>
              <w:spacing w:before="68" w:line="360" w:lineRule="auto"/>
              <w:jc w:val="center"/>
              <w:rPr>
                <w:rFonts w:ascii="宋体" w:hAnsi="宋体" w:eastAsia="宋体" w:cs="宋体"/>
                <w:sz w:val="24"/>
                <w:szCs w:val="24"/>
              </w:rPr>
            </w:pPr>
            <w:r>
              <w:rPr>
                <w:rFonts w:hint="eastAsia" w:ascii="宋体" w:hAnsi="宋体" w:eastAsia="宋体" w:cs="宋体"/>
                <w:sz w:val="24"/>
                <w:szCs w:val="24"/>
              </w:rPr>
              <w:t>8</w:t>
            </w:r>
          </w:p>
        </w:tc>
        <w:tc>
          <w:tcPr>
            <w:tcW w:w="1239" w:type="pct"/>
            <w:shd w:val="clear" w:color="auto" w:fill="auto"/>
          </w:tcPr>
          <w:p w14:paraId="66A03748">
            <w:pPr>
              <w:spacing w:before="32" w:line="360" w:lineRule="auto"/>
              <w:jc w:val="center"/>
              <w:rPr>
                <w:rFonts w:ascii="宋体" w:hAnsi="宋体" w:eastAsia="宋体" w:cs="宋体"/>
                <w:sz w:val="24"/>
                <w:szCs w:val="24"/>
              </w:rPr>
            </w:pPr>
            <w:r>
              <w:rPr>
                <w:rFonts w:hint="eastAsia" w:ascii="宋体" w:hAnsi="宋体" w:eastAsia="宋体" w:cs="宋体"/>
                <w:spacing w:val="7"/>
                <w:sz w:val="24"/>
                <w:szCs w:val="24"/>
              </w:rPr>
              <w:t>均衡</w:t>
            </w:r>
          </w:p>
        </w:tc>
        <w:tc>
          <w:tcPr>
            <w:tcW w:w="1288" w:type="pct"/>
            <w:shd w:val="clear" w:color="auto" w:fill="auto"/>
          </w:tcPr>
          <w:p w14:paraId="2B75C356">
            <w:pPr>
              <w:spacing w:before="65" w:line="360" w:lineRule="auto"/>
              <w:jc w:val="center"/>
              <w:rPr>
                <w:rFonts w:ascii="宋体" w:hAnsi="宋体" w:eastAsia="宋体" w:cs="宋体"/>
                <w:sz w:val="24"/>
                <w:szCs w:val="24"/>
              </w:rPr>
            </w:pPr>
            <w:r>
              <w:rPr>
                <w:rFonts w:hint="eastAsia" w:ascii="宋体" w:hAnsi="宋体" w:eastAsia="宋体" w:cs="宋体"/>
                <w:spacing w:val="6"/>
                <w:sz w:val="24"/>
                <w:szCs w:val="24"/>
              </w:rPr>
              <w:t>6.7</w:t>
            </w:r>
          </w:p>
        </w:tc>
        <w:tc>
          <w:tcPr>
            <w:tcW w:w="1383" w:type="pct"/>
            <w:shd w:val="clear" w:color="auto" w:fill="auto"/>
          </w:tcPr>
          <w:p w14:paraId="5FD38F95">
            <w:pPr>
              <w:spacing w:before="65" w:line="360" w:lineRule="auto"/>
              <w:jc w:val="center"/>
              <w:rPr>
                <w:rFonts w:ascii="宋体" w:hAnsi="宋体" w:eastAsia="宋体" w:cs="宋体"/>
                <w:sz w:val="24"/>
                <w:szCs w:val="24"/>
              </w:rPr>
            </w:pPr>
            <w:r>
              <w:rPr>
                <w:rFonts w:hint="eastAsia" w:ascii="宋体" w:hAnsi="宋体" w:eastAsia="宋体" w:cs="宋体"/>
                <w:spacing w:val="5"/>
                <w:sz w:val="24"/>
                <w:szCs w:val="24"/>
              </w:rPr>
              <w:t>7.9</w:t>
            </w:r>
          </w:p>
        </w:tc>
        <w:tc>
          <w:tcPr>
            <w:tcW w:w="639" w:type="pct"/>
            <w:shd w:val="clear" w:color="auto" w:fill="auto"/>
          </w:tcPr>
          <w:p w14:paraId="5238430F">
            <w:pPr>
              <w:spacing w:before="31"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64237569">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446BBBD8">
            <w:pPr>
              <w:spacing w:before="66" w:line="360" w:lineRule="auto"/>
              <w:jc w:val="center"/>
              <w:rPr>
                <w:rFonts w:ascii="宋体" w:hAnsi="宋体" w:eastAsia="宋体" w:cs="宋体"/>
                <w:sz w:val="24"/>
                <w:szCs w:val="24"/>
              </w:rPr>
            </w:pPr>
            <w:r>
              <w:rPr>
                <w:rFonts w:hint="eastAsia" w:ascii="宋体" w:hAnsi="宋体" w:eastAsia="宋体" w:cs="宋体"/>
                <w:sz w:val="24"/>
                <w:szCs w:val="24"/>
              </w:rPr>
              <w:t>9</w:t>
            </w:r>
          </w:p>
        </w:tc>
        <w:tc>
          <w:tcPr>
            <w:tcW w:w="1239" w:type="pct"/>
            <w:shd w:val="clear" w:color="auto" w:fill="auto"/>
          </w:tcPr>
          <w:p w14:paraId="74122CB3">
            <w:pPr>
              <w:spacing w:before="31" w:line="360" w:lineRule="auto"/>
              <w:jc w:val="center"/>
              <w:rPr>
                <w:rFonts w:ascii="宋体" w:hAnsi="宋体" w:eastAsia="宋体" w:cs="宋体"/>
                <w:sz w:val="24"/>
                <w:szCs w:val="24"/>
              </w:rPr>
            </w:pPr>
            <w:r>
              <w:rPr>
                <w:rFonts w:hint="eastAsia" w:ascii="宋体" w:hAnsi="宋体" w:eastAsia="宋体" w:cs="宋体"/>
                <w:spacing w:val="7"/>
                <w:sz w:val="24"/>
                <w:szCs w:val="24"/>
              </w:rPr>
              <w:t>绝缘电</w:t>
            </w:r>
            <w:r>
              <w:rPr>
                <w:rFonts w:hint="eastAsia" w:ascii="宋体" w:hAnsi="宋体" w:eastAsia="宋体" w:cs="宋体"/>
                <w:spacing w:val="6"/>
                <w:sz w:val="24"/>
                <w:szCs w:val="24"/>
              </w:rPr>
              <w:t>阻检测</w:t>
            </w:r>
          </w:p>
        </w:tc>
        <w:tc>
          <w:tcPr>
            <w:tcW w:w="1288" w:type="pct"/>
            <w:shd w:val="clear" w:color="auto" w:fill="auto"/>
          </w:tcPr>
          <w:p w14:paraId="7849CA0E">
            <w:pPr>
              <w:spacing w:before="64" w:line="360" w:lineRule="auto"/>
              <w:jc w:val="center"/>
              <w:rPr>
                <w:rFonts w:ascii="宋体" w:hAnsi="宋体" w:eastAsia="宋体" w:cs="宋体"/>
                <w:sz w:val="24"/>
                <w:szCs w:val="24"/>
              </w:rPr>
            </w:pPr>
            <w:r>
              <w:rPr>
                <w:rFonts w:hint="eastAsia" w:ascii="宋体" w:hAnsi="宋体" w:eastAsia="宋体" w:cs="宋体"/>
                <w:spacing w:val="5"/>
                <w:sz w:val="24"/>
                <w:szCs w:val="24"/>
              </w:rPr>
              <w:t>6.8</w:t>
            </w:r>
          </w:p>
        </w:tc>
        <w:tc>
          <w:tcPr>
            <w:tcW w:w="1383" w:type="pct"/>
            <w:shd w:val="clear" w:color="auto" w:fill="auto"/>
          </w:tcPr>
          <w:p w14:paraId="41D9852E">
            <w:pPr>
              <w:spacing w:before="64" w:line="360" w:lineRule="auto"/>
              <w:jc w:val="center"/>
              <w:rPr>
                <w:rFonts w:ascii="宋体" w:hAnsi="宋体" w:eastAsia="宋体" w:cs="宋体"/>
                <w:sz w:val="24"/>
                <w:szCs w:val="24"/>
              </w:rPr>
            </w:pPr>
            <w:r>
              <w:rPr>
                <w:rFonts w:hint="eastAsia" w:ascii="宋体" w:hAnsi="宋体" w:eastAsia="宋体" w:cs="宋体"/>
                <w:spacing w:val="5"/>
                <w:sz w:val="24"/>
                <w:szCs w:val="24"/>
              </w:rPr>
              <w:t>7.10</w:t>
            </w:r>
          </w:p>
        </w:tc>
        <w:tc>
          <w:tcPr>
            <w:tcW w:w="639" w:type="pct"/>
            <w:shd w:val="clear" w:color="auto" w:fill="auto"/>
          </w:tcPr>
          <w:p w14:paraId="50D7068F">
            <w:pPr>
              <w:spacing w:before="31"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058DA7F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8" w:type="pct"/>
            <w:shd w:val="clear" w:color="auto" w:fill="auto"/>
          </w:tcPr>
          <w:p w14:paraId="3F5C38B4">
            <w:pPr>
              <w:spacing w:before="66" w:line="360" w:lineRule="auto"/>
              <w:jc w:val="center"/>
              <w:rPr>
                <w:rFonts w:ascii="宋体" w:hAnsi="宋体" w:eastAsia="宋体" w:cs="宋体"/>
                <w:sz w:val="24"/>
                <w:szCs w:val="24"/>
              </w:rPr>
            </w:pPr>
            <w:r>
              <w:rPr>
                <w:rFonts w:hint="eastAsia" w:ascii="宋体" w:hAnsi="宋体" w:eastAsia="宋体" w:cs="宋体"/>
                <w:sz w:val="24"/>
                <w:szCs w:val="24"/>
              </w:rPr>
              <w:t>10</w:t>
            </w:r>
          </w:p>
        </w:tc>
        <w:tc>
          <w:tcPr>
            <w:tcW w:w="1239" w:type="pct"/>
            <w:shd w:val="clear" w:color="auto" w:fill="auto"/>
          </w:tcPr>
          <w:p w14:paraId="4FF81905">
            <w:pPr>
              <w:spacing w:before="35" w:line="360" w:lineRule="auto"/>
              <w:jc w:val="center"/>
              <w:rPr>
                <w:rFonts w:ascii="宋体" w:hAnsi="宋体" w:eastAsia="宋体" w:cs="宋体"/>
                <w:sz w:val="24"/>
                <w:szCs w:val="24"/>
              </w:rPr>
            </w:pPr>
            <w:r>
              <w:rPr>
                <w:rFonts w:hint="eastAsia" w:ascii="宋体" w:hAnsi="宋体" w:eastAsia="宋体" w:cs="宋体"/>
                <w:spacing w:val="7"/>
                <w:sz w:val="24"/>
                <w:szCs w:val="24"/>
              </w:rPr>
              <w:t>供</w:t>
            </w:r>
            <w:r>
              <w:rPr>
                <w:rFonts w:hint="eastAsia" w:ascii="宋体" w:hAnsi="宋体" w:eastAsia="宋体" w:cs="宋体"/>
                <w:spacing w:val="6"/>
                <w:sz w:val="24"/>
                <w:szCs w:val="24"/>
              </w:rPr>
              <w:t>电电压</w:t>
            </w:r>
          </w:p>
        </w:tc>
        <w:tc>
          <w:tcPr>
            <w:tcW w:w="1288" w:type="pct"/>
            <w:shd w:val="clear" w:color="auto" w:fill="auto"/>
          </w:tcPr>
          <w:p w14:paraId="7BE4C787">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6.14.1</w:t>
            </w:r>
          </w:p>
        </w:tc>
        <w:tc>
          <w:tcPr>
            <w:tcW w:w="1383" w:type="pct"/>
            <w:shd w:val="clear" w:color="auto" w:fill="auto"/>
          </w:tcPr>
          <w:p w14:paraId="12C789C5">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7.13.1</w:t>
            </w:r>
          </w:p>
        </w:tc>
        <w:tc>
          <w:tcPr>
            <w:tcW w:w="639" w:type="pct"/>
            <w:shd w:val="clear" w:color="auto" w:fill="auto"/>
          </w:tcPr>
          <w:p w14:paraId="0BFD0AA2">
            <w:pPr>
              <w:spacing w:before="35"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72DFE463">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448" w:type="pct"/>
            <w:shd w:val="clear" w:color="auto" w:fill="auto"/>
          </w:tcPr>
          <w:p w14:paraId="2670A025">
            <w:pPr>
              <w:spacing w:before="65" w:line="360" w:lineRule="auto"/>
              <w:jc w:val="center"/>
              <w:rPr>
                <w:rFonts w:ascii="宋体" w:hAnsi="宋体" w:eastAsia="宋体" w:cs="宋体"/>
                <w:sz w:val="24"/>
                <w:szCs w:val="24"/>
              </w:rPr>
            </w:pPr>
            <w:r>
              <w:rPr>
                <w:rFonts w:hint="eastAsia" w:ascii="宋体" w:hAnsi="宋体" w:eastAsia="宋体" w:cs="宋体"/>
                <w:sz w:val="24"/>
                <w:szCs w:val="24"/>
              </w:rPr>
              <w:t>11</w:t>
            </w:r>
          </w:p>
        </w:tc>
        <w:tc>
          <w:tcPr>
            <w:tcW w:w="1239" w:type="pct"/>
            <w:shd w:val="clear" w:color="auto" w:fill="auto"/>
          </w:tcPr>
          <w:p w14:paraId="49BC6BE1">
            <w:pPr>
              <w:spacing w:before="35" w:line="360" w:lineRule="auto"/>
              <w:jc w:val="center"/>
              <w:rPr>
                <w:rFonts w:ascii="宋体" w:hAnsi="宋体" w:eastAsia="宋体" w:cs="宋体"/>
                <w:sz w:val="24"/>
                <w:szCs w:val="24"/>
              </w:rPr>
            </w:pPr>
            <w:r>
              <w:rPr>
                <w:rFonts w:hint="eastAsia" w:ascii="宋体" w:hAnsi="宋体" w:eastAsia="宋体" w:cs="宋体"/>
                <w:spacing w:val="7"/>
                <w:sz w:val="24"/>
                <w:szCs w:val="24"/>
              </w:rPr>
              <w:t>过</w:t>
            </w:r>
            <w:r>
              <w:rPr>
                <w:rFonts w:hint="eastAsia" w:ascii="宋体" w:hAnsi="宋体" w:eastAsia="宋体" w:cs="宋体"/>
                <w:spacing w:val="6"/>
                <w:sz w:val="24"/>
                <w:szCs w:val="24"/>
              </w:rPr>
              <w:t>电压</w:t>
            </w:r>
          </w:p>
        </w:tc>
        <w:tc>
          <w:tcPr>
            <w:tcW w:w="1288" w:type="pct"/>
            <w:shd w:val="clear" w:color="auto" w:fill="auto"/>
          </w:tcPr>
          <w:p w14:paraId="5C8378AB">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6.14.2</w:t>
            </w:r>
          </w:p>
        </w:tc>
        <w:tc>
          <w:tcPr>
            <w:tcW w:w="1383" w:type="pct"/>
            <w:shd w:val="clear" w:color="auto" w:fill="auto"/>
          </w:tcPr>
          <w:p w14:paraId="3AB92179">
            <w:pPr>
              <w:spacing w:before="68" w:line="360" w:lineRule="auto"/>
              <w:jc w:val="center"/>
              <w:rPr>
                <w:rFonts w:ascii="宋体" w:hAnsi="宋体" w:eastAsia="宋体" w:cs="宋体"/>
                <w:sz w:val="24"/>
                <w:szCs w:val="24"/>
              </w:rPr>
            </w:pPr>
            <w:r>
              <w:rPr>
                <w:rFonts w:hint="eastAsia" w:ascii="宋体" w:hAnsi="宋体" w:eastAsia="宋体" w:cs="宋体"/>
                <w:spacing w:val="5"/>
                <w:sz w:val="24"/>
                <w:szCs w:val="24"/>
              </w:rPr>
              <w:t>7.13.2</w:t>
            </w:r>
          </w:p>
        </w:tc>
        <w:tc>
          <w:tcPr>
            <w:tcW w:w="639" w:type="pct"/>
            <w:shd w:val="clear" w:color="auto" w:fill="auto"/>
          </w:tcPr>
          <w:p w14:paraId="6B45E144">
            <w:pPr>
              <w:spacing w:before="35"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45DB47A8">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8" w:type="pct"/>
            <w:shd w:val="clear" w:color="auto" w:fill="auto"/>
          </w:tcPr>
          <w:p w14:paraId="12499F61">
            <w:pPr>
              <w:spacing w:before="67" w:line="360" w:lineRule="auto"/>
              <w:jc w:val="center"/>
              <w:rPr>
                <w:rFonts w:ascii="宋体" w:hAnsi="宋体" w:eastAsia="宋体" w:cs="宋体"/>
                <w:sz w:val="24"/>
                <w:szCs w:val="24"/>
              </w:rPr>
            </w:pPr>
            <w:r>
              <w:rPr>
                <w:rFonts w:hint="eastAsia" w:ascii="宋体" w:hAnsi="宋体" w:eastAsia="宋体" w:cs="宋体"/>
                <w:spacing w:val="-8"/>
                <w:sz w:val="24"/>
                <w:szCs w:val="24"/>
              </w:rPr>
              <w:t>1</w:t>
            </w:r>
            <w:r>
              <w:rPr>
                <w:rFonts w:hint="eastAsia" w:ascii="宋体" w:hAnsi="宋体" w:eastAsia="宋体" w:cs="宋体"/>
                <w:spacing w:val="-6"/>
                <w:sz w:val="24"/>
                <w:szCs w:val="24"/>
              </w:rPr>
              <w:t>2</w:t>
            </w:r>
          </w:p>
        </w:tc>
        <w:tc>
          <w:tcPr>
            <w:tcW w:w="1239" w:type="pct"/>
            <w:shd w:val="clear" w:color="auto" w:fill="auto"/>
            <w:vAlign w:val="center"/>
          </w:tcPr>
          <w:p w14:paraId="2D7417FE">
            <w:pPr>
              <w:spacing w:before="37" w:line="360" w:lineRule="auto"/>
              <w:jc w:val="center"/>
              <w:rPr>
                <w:rFonts w:ascii="宋体" w:hAnsi="宋体" w:eastAsia="宋体" w:cs="宋体"/>
                <w:sz w:val="24"/>
                <w:szCs w:val="24"/>
              </w:rPr>
            </w:pPr>
            <w:r>
              <w:rPr>
                <w:rFonts w:hint="eastAsia" w:ascii="宋体" w:hAnsi="宋体" w:eastAsia="宋体" w:cs="宋体"/>
                <w:spacing w:val="7"/>
                <w:sz w:val="24"/>
                <w:szCs w:val="24"/>
              </w:rPr>
              <w:t>反向电压</w:t>
            </w:r>
          </w:p>
        </w:tc>
        <w:tc>
          <w:tcPr>
            <w:tcW w:w="1288" w:type="pct"/>
            <w:shd w:val="clear" w:color="auto" w:fill="auto"/>
            <w:vAlign w:val="center"/>
          </w:tcPr>
          <w:p w14:paraId="59C93740">
            <w:pPr>
              <w:spacing w:before="69" w:line="360" w:lineRule="auto"/>
              <w:jc w:val="center"/>
              <w:rPr>
                <w:rFonts w:ascii="宋体" w:hAnsi="宋体" w:eastAsia="宋体" w:cs="宋体"/>
                <w:sz w:val="24"/>
                <w:szCs w:val="24"/>
              </w:rPr>
            </w:pPr>
            <w:r>
              <w:rPr>
                <w:rFonts w:hint="eastAsia" w:ascii="宋体" w:hAnsi="宋体" w:eastAsia="宋体" w:cs="宋体"/>
                <w:spacing w:val="5"/>
                <w:sz w:val="24"/>
                <w:szCs w:val="24"/>
              </w:rPr>
              <w:t>6.14.3</w:t>
            </w:r>
          </w:p>
        </w:tc>
        <w:tc>
          <w:tcPr>
            <w:tcW w:w="1383" w:type="pct"/>
            <w:shd w:val="clear" w:color="auto" w:fill="auto"/>
            <w:vAlign w:val="center"/>
          </w:tcPr>
          <w:p w14:paraId="17597323">
            <w:pPr>
              <w:spacing w:before="69" w:line="360" w:lineRule="auto"/>
              <w:jc w:val="center"/>
              <w:rPr>
                <w:rFonts w:ascii="宋体" w:hAnsi="宋体" w:eastAsia="宋体" w:cs="宋体"/>
                <w:sz w:val="24"/>
                <w:szCs w:val="24"/>
              </w:rPr>
            </w:pPr>
            <w:r>
              <w:rPr>
                <w:rFonts w:hint="eastAsia" w:ascii="宋体" w:hAnsi="宋体" w:eastAsia="宋体" w:cs="宋体"/>
                <w:spacing w:val="5"/>
                <w:sz w:val="24"/>
                <w:szCs w:val="24"/>
              </w:rPr>
              <w:t>7.13.3</w:t>
            </w:r>
          </w:p>
        </w:tc>
        <w:tc>
          <w:tcPr>
            <w:tcW w:w="639" w:type="pct"/>
            <w:shd w:val="clear" w:color="auto" w:fill="auto"/>
            <w:vAlign w:val="center"/>
          </w:tcPr>
          <w:p w14:paraId="5DA2B3DF">
            <w:pPr>
              <w:spacing w:before="37"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r w14:paraId="5F9687E2">
        <w:tblPrEx>
          <w:tblBorders>
            <w:top w:val="single" w:color="auto" w:sz="4" w:space="0"/>
            <w:left w:val="single" w:color="auto" w:sz="4" w:space="0"/>
            <w:bottom w:val="single" w:color="auto" w:sz="4" w:space="0"/>
            <w:right w:val="single" w:color="auto" w:sz="4"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448" w:type="pct"/>
            <w:shd w:val="clear" w:color="auto" w:fill="auto"/>
          </w:tcPr>
          <w:p w14:paraId="0858C31D">
            <w:pPr>
              <w:spacing w:before="67" w:line="360" w:lineRule="auto"/>
              <w:jc w:val="center"/>
              <w:rPr>
                <w:rFonts w:ascii="宋体" w:hAnsi="宋体" w:eastAsia="宋体" w:cs="宋体"/>
                <w:spacing w:val="-8"/>
                <w:sz w:val="24"/>
                <w:szCs w:val="24"/>
              </w:rPr>
            </w:pPr>
            <w:r>
              <w:rPr>
                <w:rFonts w:hint="eastAsia" w:ascii="宋体" w:hAnsi="宋体" w:eastAsia="宋体" w:cs="宋体"/>
                <w:spacing w:val="-8"/>
                <w:sz w:val="24"/>
                <w:szCs w:val="24"/>
              </w:rPr>
              <w:t>13</w:t>
            </w:r>
          </w:p>
        </w:tc>
        <w:tc>
          <w:tcPr>
            <w:tcW w:w="1239" w:type="pct"/>
            <w:shd w:val="clear" w:color="auto" w:fill="auto"/>
            <w:vAlign w:val="center"/>
          </w:tcPr>
          <w:p w14:paraId="5041E329">
            <w:pPr>
              <w:spacing w:before="37" w:line="360" w:lineRule="auto"/>
              <w:jc w:val="center"/>
              <w:rPr>
                <w:rFonts w:ascii="宋体" w:hAnsi="宋体" w:eastAsia="宋体" w:cs="宋体"/>
                <w:spacing w:val="7"/>
                <w:sz w:val="24"/>
                <w:szCs w:val="24"/>
              </w:rPr>
            </w:pPr>
            <w:r>
              <w:rPr>
                <w:rFonts w:hint="eastAsia" w:ascii="宋体" w:hAnsi="宋体" w:eastAsia="宋体" w:cs="宋体"/>
                <w:spacing w:val="7"/>
                <w:sz w:val="24"/>
                <w:szCs w:val="24"/>
              </w:rPr>
              <w:t>通讯线回路短路</w:t>
            </w:r>
          </w:p>
        </w:tc>
        <w:tc>
          <w:tcPr>
            <w:tcW w:w="1288" w:type="pct"/>
            <w:shd w:val="clear" w:color="auto" w:fill="auto"/>
            <w:vAlign w:val="center"/>
          </w:tcPr>
          <w:p w14:paraId="0AB47B82">
            <w:pPr>
              <w:spacing w:before="69" w:line="360" w:lineRule="auto"/>
              <w:jc w:val="center"/>
              <w:rPr>
                <w:rFonts w:ascii="宋体" w:hAnsi="宋体" w:eastAsia="宋体" w:cs="宋体"/>
                <w:spacing w:val="5"/>
                <w:sz w:val="24"/>
                <w:szCs w:val="24"/>
              </w:rPr>
            </w:pPr>
            <w:r>
              <w:rPr>
                <w:rFonts w:hint="eastAsia" w:ascii="宋体" w:hAnsi="宋体" w:eastAsia="宋体" w:cs="宋体"/>
                <w:spacing w:val="5"/>
                <w:sz w:val="24"/>
                <w:szCs w:val="24"/>
              </w:rPr>
              <w:t>6.14.4</w:t>
            </w:r>
          </w:p>
        </w:tc>
        <w:tc>
          <w:tcPr>
            <w:tcW w:w="1383" w:type="pct"/>
            <w:shd w:val="clear" w:color="auto" w:fill="auto"/>
            <w:vAlign w:val="center"/>
          </w:tcPr>
          <w:p w14:paraId="48F2D503">
            <w:pPr>
              <w:spacing w:before="69" w:line="360" w:lineRule="auto"/>
              <w:jc w:val="center"/>
              <w:rPr>
                <w:rFonts w:ascii="宋体" w:hAnsi="宋体" w:eastAsia="宋体" w:cs="宋体"/>
                <w:spacing w:val="5"/>
                <w:sz w:val="24"/>
                <w:szCs w:val="24"/>
              </w:rPr>
            </w:pPr>
            <w:r>
              <w:rPr>
                <w:rFonts w:hint="eastAsia" w:ascii="宋体" w:hAnsi="宋体" w:eastAsia="宋体" w:cs="宋体"/>
                <w:spacing w:val="5"/>
                <w:sz w:val="24"/>
                <w:szCs w:val="24"/>
              </w:rPr>
              <w:t>7.14.4</w:t>
            </w:r>
          </w:p>
        </w:tc>
        <w:tc>
          <w:tcPr>
            <w:tcW w:w="639" w:type="pct"/>
            <w:shd w:val="clear" w:color="auto" w:fill="auto"/>
            <w:vAlign w:val="center"/>
          </w:tcPr>
          <w:p w14:paraId="26E2A311">
            <w:pPr>
              <w:spacing w:before="37" w:line="360" w:lineRule="auto"/>
              <w:jc w:val="center"/>
              <w:rPr>
                <w:rFonts w:ascii="宋体" w:hAnsi="宋体" w:eastAsia="宋体" w:cs="宋体"/>
                <w:sz w:val="24"/>
                <w:szCs w:val="24"/>
              </w:rPr>
            </w:pPr>
            <w:r>
              <w:rPr>
                <w:rFonts w:hint="eastAsia" w:ascii="宋体" w:hAnsi="宋体" w:eastAsia="宋体" w:cs="宋体"/>
                <w:position w:val="1"/>
                <w:sz w:val="24"/>
                <w:szCs w:val="24"/>
              </w:rPr>
              <w:t>√</w:t>
            </w:r>
          </w:p>
        </w:tc>
      </w:tr>
    </w:tbl>
    <w:p w14:paraId="556D23D9">
      <w:pPr>
        <w:widowControl/>
        <w:spacing w:line="360" w:lineRule="auto"/>
        <w:jc w:val="left"/>
        <w:rPr>
          <w:rFonts w:ascii="宋体" w:hAnsi="宋体" w:eastAsia="宋体" w:cs="宋体"/>
          <w:sz w:val="24"/>
          <w:szCs w:val="24"/>
        </w:rPr>
      </w:pPr>
      <w:r>
        <w:rPr>
          <w:rFonts w:ascii="宋体" w:hAnsi="宋体" w:eastAsia="宋体" w:cs="宋体"/>
          <w:sz w:val="24"/>
          <w:szCs w:val="24"/>
          <w:highlight w:val="none"/>
        </w:rPr>
        <w:t>▲</w:t>
      </w:r>
      <w:r>
        <w:rPr>
          <w:rFonts w:hint="eastAsia" w:ascii="宋体" w:hAnsi="宋体" w:eastAsia="宋体" w:cs="宋体"/>
          <w:sz w:val="24"/>
          <w:szCs w:val="24"/>
        </w:rPr>
        <w:t>3.2 系统需要兼容 GB∕T 38661-2020 《电动汽车用电池管理系统技术条件的技术》标准部分要求，必须可完成如下表格中的项目测试要求：</w:t>
      </w:r>
    </w:p>
    <w:tbl>
      <w:tblPr>
        <w:tblStyle w:val="11"/>
        <w:tblW w:w="52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251"/>
        <w:gridCol w:w="2279"/>
        <w:gridCol w:w="2331"/>
        <w:gridCol w:w="1282"/>
      </w:tblGrid>
      <w:tr w14:paraId="5C50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448" w:type="pct"/>
            <w:tcBorders>
              <w:tl2br w:val="nil"/>
              <w:tr2bl w:val="nil"/>
            </w:tcBorders>
            <w:shd w:val="clear" w:color="auto" w:fill="auto"/>
            <w:vAlign w:val="center"/>
          </w:tcPr>
          <w:p w14:paraId="5705137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序号</w:t>
            </w:r>
          </w:p>
        </w:tc>
        <w:tc>
          <w:tcPr>
            <w:tcW w:w="1258" w:type="pct"/>
            <w:tcBorders>
              <w:tl2br w:val="nil"/>
              <w:tr2bl w:val="nil"/>
            </w:tcBorders>
            <w:shd w:val="clear" w:color="auto" w:fill="auto"/>
            <w:vAlign w:val="center"/>
          </w:tcPr>
          <w:p w14:paraId="78C9DCE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检测项目</w:t>
            </w:r>
          </w:p>
        </w:tc>
        <w:tc>
          <w:tcPr>
            <w:tcW w:w="1273" w:type="pct"/>
            <w:tcBorders>
              <w:tl2br w:val="nil"/>
              <w:tr2bl w:val="nil"/>
            </w:tcBorders>
            <w:shd w:val="clear" w:color="auto" w:fill="auto"/>
            <w:vAlign w:val="center"/>
          </w:tcPr>
          <w:p w14:paraId="732C8E1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技术要求（章条号）</w:t>
            </w:r>
          </w:p>
        </w:tc>
        <w:tc>
          <w:tcPr>
            <w:tcW w:w="1302" w:type="pct"/>
            <w:tcBorders>
              <w:tl2br w:val="nil"/>
              <w:tr2bl w:val="nil"/>
            </w:tcBorders>
            <w:shd w:val="clear" w:color="auto" w:fill="auto"/>
            <w:vAlign w:val="center"/>
          </w:tcPr>
          <w:p w14:paraId="0F53F21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试验方法（章条号）</w:t>
            </w:r>
          </w:p>
        </w:tc>
        <w:tc>
          <w:tcPr>
            <w:tcW w:w="716" w:type="pct"/>
            <w:tcBorders>
              <w:tl2br w:val="nil"/>
              <w:tr2bl w:val="nil"/>
            </w:tcBorders>
            <w:shd w:val="clear" w:color="auto" w:fill="auto"/>
            <w:vAlign w:val="center"/>
          </w:tcPr>
          <w:p w14:paraId="227ACE7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型式检验</w:t>
            </w:r>
          </w:p>
        </w:tc>
      </w:tr>
      <w:tr w14:paraId="704C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48" w:type="pct"/>
            <w:tcBorders>
              <w:tl2br w:val="nil"/>
              <w:tr2bl w:val="nil"/>
            </w:tcBorders>
            <w:shd w:val="clear" w:color="auto" w:fill="auto"/>
            <w:vAlign w:val="center"/>
          </w:tcPr>
          <w:p w14:paraId="1C368B7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1258" w:type="pct"/>
            <w:tcBorders>
              <w:tl2br w:val="nil"/>
              <w:tr2bl w:val="nil"/>
            </w:tcBorders>
            <w:shd w:val="clear" w:color="auto" w:fill="auto"/>
            <w:vAlign w:val="center"/>
          </w:tcPr>
          <w:p w14:paraId="7390C1F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总电压测量精度</w:t>
            </w:r>
          </w:p>
        </w:tc>
        <w:tc>
          <w:tcPr>
            <w:tcW w:w="1273" w:type="pct"/>
            <w:tcBorders>
              <w:tl2br w:val="nil"/>
              <w:tr2bl w:val="nil"/>
            </w:tcBorders>
            <w:shd w:val="clear" w:color="auto" w:fill="auto"/>
            <w:vAlign w:val="center"/>
          </w:tcPr>
          <w:p w14:paraId="136D54D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5.4.1</w:t>
            </w:r>
          </w:p>
        </w:tc>
        <w:tc>
          <w:tcPr>
            <w:tcW w:w="1302" w:type="pct"/>
            <w:tcBorders>
              <w:tl2br w:val="nil"/>
              <w:tr2bl w:val="nil"/>
            </w:tcBorders>
            <w:shd w:val="clear" w:color="auto" w:fill="auto"/>
            <w:vAlign w:val="center"/>
          </w:tcPr>
          <w:p w14:paraId="645C22DA">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6.2.2</w:t>
            </w:r>
          </w:p>
        </w:tc>
        <w:tc>
          <w:tcPr>
            <w:tcW w:w="716" w:type="pct"/>
            <w:tcBorders>
              <w:tl2br w:val="nil"/>
              <w:tr2bl w:val="nil"/>
            </w:tcBorders>
            <w:shd w:val="clear" w:color="auto" w:fill="auto"/>
            <w:vAlign w:val="center"/>
          </w:tcPr>
          <w:p w14:paraId="3DB1FD3B">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49154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448" w:type="pct"/>
            <w:tcBorders>
              <w:tl2br w:val="nil"/>
              <w:tr2bl w:val="nil"/>
            </w:tcBorders>
            <w:shd w:val="clear" w:color="auto" w:fill="auto"/>
            <w:vAlign w:val="center"/>
          </w:tcPr>
          <w:p w14:paraId="45B601E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1258" w:type="pct"/>
            <w:tcBorders>
              <w:tl2br w:val="nil"/>
              <w:tr2bl w:val="nil"/>
            </w:tcBorders>
            <w:shd w:val="clear" w:color="auto" w:fill="auto"/>
            <w:vAlign w:val="center"/>
          </w:tcPr>
          <w:p w14:paraId="7272E07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总电流测量精度</w:t>
            </w:r>
          </w:p>
        </w:tc>
        <w:tc>
          <w:tcPr>
            <w:tcW w:w="1273" w:type="pct"/>
            <w:tcBorders>
              <w:tl2br w:val="nil"/>
              <w:tr2bl w:val="nil"/>
            </w:tcBorders>
            <w:shd w:val="clear" w:color="auto" w:fill="auto"/>
            <w:vAlign w:val="center"/>
          </w:tcPr>
          <w:p w14:paraId="3C1B0DC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5.4.2</w:t>
            </w:r>
          </w:p>
        </w:tc>
        <w:tc>
          <w:tcPr>
            <w:tcW w:w="1302" w:type="pct"/>
            <w:tcBorders>
              <w:tl2br w:val="nil"/>
              <w:tr2bl w:val="nil"/>
            </w:tcBorders>
            <w:shd w:val="clear" w:color="auto" w:fill="auto"/>
            <w:vAlign w:val="center"/>
          </w:tcPr>
          <w:p w14:paraId="74EB5FC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6.2.3</w:t>
            </w:r>
          </w:p>
        </w:tc>
        <w:tc>
          <w:tcPr>
            <w:tcW w:w="716" w:type="pct"/>
            <w:tcBorders>
              <w:tl2br w:val="nil"/>
              <w:tr2bl w:val="nil"/>
            </w:tcBorders>
            <w:shd w:val="clear" w:color="auto" w:fill="auto"/>
            <w:vAlign w:val="center"/>
          </w:tcPr>
          <w:p w14:paraId="04C65E1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374B9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48" w:type="pct"/>
            <w:tcBorders>
              <w:tl2br w:val="nil"/>
              <w:tr2bl w:val="nil"/>
            </w:tcBorders>
            <w:shd w:val="clear" w:color="auto" w:fill="auto"/>
            <w:vAlign w:val="center"/>
          </w:tcPr>
          <w:p w14:paraId="5114C1C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258" w:type="pct"/>
            <w:tcBorders>
              <w:tl2br w:val="nil"/>
              <w:tr2bl w:val="nil"/>
            </w:tcBorders>
            <w:shd w:val="clear" w:color="auto" w:fill="auto"/>
            <w:vAlign w:val="center"/>
          </w:tcPr>
          <w:p w14:paraId="2459FA2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单体(电芯组)电压测量精度</w:t>
            </w:r>
          </w:p>
        </w:tc>
        <w:tc>
          <w:tcPr>
            <w:tcW w:w="1273" w:type="pct"/>
            <w:tcBorders>
              <w:tl2br w:val="nil"/>
              <w:tr2bl w:val="nil"/>
            </w:tcBorders>
            <w:shd w:val="clear" w:color="auto" w:fill="auto"/>
            <w:vAlign w:val="center"/>
          </w:tcPr>
          <w:p w14:paraId="2ADF943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5.4.3</w:t>
            </w:r>
          </w:p>
        </w:tc>
        <w:tc>
          <w:tcPr>
            <w:tcW w:w="1302" w:type="pct"/>
            <w:tcBorders>
              <w:tl2br w:val="nil"/>
              <w:tr2bl w:val="nil"/>
            </w:tcBorders>
            <w:shd w:val="clear" w:color="auto" w:fill="auto"/>
            <w:vAlign w:val="center"/>
          </w:tcPr>
          <w:p w14:paraId="5E461C8E">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6.2.4</w:t>
            </w:r>
          </w:p>
        </w:tc>
        <w:tc>
          <w:tcPr>
            <w:tcW w:w="716" w:type="pct"/>
            <w:tcBorders>
              <w:tl2br w:val="nil"/>
              <w:tr2bl w:val="nil"/>
            </w:tcBorders>
            <w:shd w:val="clear" w:color="auto" w:fill="auto"/>
            <w:vAlign w:val="center"/>
          </w:tcPr>
          <w:p w14:paraId="42C26939">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3CFCC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8" w:type="pct"/>
            <w:tcBorders>
              <w:tl2br w:val="nil"/>
              <w:tr2bl w:val="nil"/>
            </w:tcBorders>
            <w:shd w:val="clear" w:color="auto" w:fill="auto"/>
            <w:vAlign w:val="center"/>
          </w:tcPr>
          <w:p w14:paraId="68EB45E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258" w:type="pct"/>
            <w:tcBorders>
              <w:tl2br w:val="nil"/>
              <w:tr2bl w:val="nil"/>
            </w:tcBorders>
            <w:shd w:val="clear" w:color="auto" w:fill="auto"/>
            <w:vAlign w:val="center"/>
          </w:tcPr>
          <w:p w14:paraId="24E521F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温度测量精度</w:t>
            </w:r>
          </w:p>
        </w:tc>
        <w:tc>
          <w:tcPr>
            <w:tcW w:w="1273" w:type="pct"/>
            <w:tcBorders>
              <w:tl2br w:val="nil"/>
              <w:tr2bl w:val="nil"/>
            </w:tcBorders>
            <w:shd w:val="clear" w:color="auto" w:fill="auto"/>
            <w:vAlign w:val="center"/>
          </w:tcPr>
          <w:p w14:paraId="05547D9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5.4.4</w:t>
            </w:r>
          </w:p>
        </w:tc>
        <w:tc>
          <w:tcPr>
            <w:tcW w:w="1302" w:type="pct"/>
            <w:tcBorders>
              <w:tl2br w:val="nil"/>
              <w:tr2bl w:val="nil"/>
            </w:tcBorders>
            <w:shd w:val="clear" w:color="auto" w:fill="auto"/>
            <w:vAlign w:val="center"/>
          </w:tcPr>
          <w:p w14:paraId="1562A53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6.2.5</w:t>
            </w:r>
          </w:p>
        </w:tc>
        <w:tc>
          <w:tcPr>
            <w:tcW w:w="716" w:type="pct"/>
            <w:tcBorders>
              <w:tl2br w:val="nil"/>
              <w:tr2bl w:val="nil"/>
            </w:tcBorders>
            <w:shd w:val="clear" w:color="auto" w:fill="auto"/>
            <w:vAlign w:val="center"/>
          </w:tcPr>
          <w:p w14:paraId="0468A13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29978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48" w:type="pct"/>
            <w:tcBorders>
              <w:tl2br w:val="nil"/>
              <w:tr2bl w:val="nil"/>
            </w:tcBorders>
            <w:shd w:val="clear" w:color="auto" w:fill="auto"/>
            <w:vAlign w:val="center"/>
          </w:tcPr>
          <w:p w14:paraId="481774F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258" w:type="pct"/>
            <w:tcBorders>
              <w:tl2br w:val="nil"/>
              <w:tr2bl w:val="nil"/>
            </w:tcBorders>
            <w:shd w:val="clear" w:color="auto" w:fill="auto"/>
            <w:vAlign w:val="center"/>
          </w:tcPr>
          <w:p w14:paraId="46EF2F4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绝缘电阻测量精度</w:t>
            </w:r>
          </w:p>
        </w:tc>
        <w:tc>
          <w:tcPr>
            <w:tcW w:w="1273" w:type="pct"/>
            <w:tcBorders>
              <w:tl2br w:val="nil"/>
              <w:tr2bl w:val="nil"/>
            </w:tcBorders>
            <w:shd w:val="clear" w:color="auto" w:fill="auto"/>
            <w:vAlign w:val="center"/>
          </w:tcPr>
          <w:p w14:paraId="60F580D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5.4.5</w:t>
            </w:r>
          </w:p>
        </w:tc>
        <w:tc>
          <w:tcPr>
            <w:tcW w:w="1302" w:type="pct"/>
            <w:tcBorders>
              <w:tl2br w:val="nil"/>
              <w:tr2bl w:val="nil"/>
            </w:tcBorders>
            <w:shd w:val="clear" w:color="auto" w:fill="auto"/>
            <w:vAlign w:val="center"/>
          </w:tcPr>
          <w:p w14:paraId="455BE3D0">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6.2.6</w:t>
            </w:r>
          </w:p>
        </w:tc>
        <w:tc>
          <w:tcPr>
            <w:tcW w:w="716" w:type="pct"/>
            <w:tcBorders>
              <w:tl2br w:val="nil"/>
              <w:tr2bl w:val="nil"/>
            </w:tcBorders>
            <w:shd w:val="clear" w:color="auto" w:fill="auto"/>
            <w:vAlign w:val="center"/>
          </w:tcPr>
          <w:p w14:paraId="713F6F23">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5098D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8" w:type="pct"/>
            <w:tcBorders>
              <w:tl2br w:val="nil"/>
              <w:tr2bl w:val="nil"/>
            </w:tcBorders>
            <w:shd w:val="clear" w:color="auto" w:fill="auto"/>
            <w:vAlign w:val="center"/>
          </w:tcPr>
          <w:p w14:paraId="34AF0E2C">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w:t>
            </w:r>
          </w:p>
        </w:tc>
        <w:tc>
          <w:tcPr>
            <w:tcW w:w="1258" w:type="pct"/>
            <w:tcBorders>
              <w:tl2br w:val="nil"/>
              <w:tr2bl w:val="nil"/>
            </w:tcBorders>
            <w:shd w:val="clear" w:color="auto" w:fill="auto"/>
            <w:vAlign w:val="center"/>
          </w:tcPr>
          <w:p w14:paraId="3ABF8D98">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SOC估算精度</w:t>
            </w:r>
          </w:p>
        </w:tc>
        <w:tc>
          <w:tcPr>
            <w:tcW w:w="1273" w:type="pct"/>
            <w:tcBorders>
              <w:tl2br w:val="nil"/>
              <w:tr2bl w:val="nil"/>
            </w:tcBorders>
            <w:shd w:val="clear" w:color="auto" w:fill="auto"/>
            <w:vAlign w:val="center"/>
          </w:tcPr>
          <w:p w14:paraId="61A7D15D">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5.5</w:t>
            </w:r>
          </w:p>
        </w:tc>
        <w:tc>
          <w:tcPr>
            <w:tcW w:w="1302" w:type="pct"/>
            <w:tcBorders>
              <w:tl2br w:val="nil"/>
              <w:tr2bl w:val="nil"/>
            </w:tcBorders>
            <w:shd w:val="clear" w:color="auto" w:fill="auto"/>
            <w:vAlign w:val="center"/>
          </w:tcPr>
          <w:p w14:paraId="7E17D21F">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6.3</w:t>
            </w:r>
          </w:p>
        </w:tc>
        <w:tc>
          <w:tcPr>
            <w:tcW w:w="716" w:type="pct"/>
            <w:tcBorders>
              <w:tl2br w:val="nil"/>
              <w:tr2bl w:val="nil"/>
            </w:tcBorders>
            <w:shd w:val="clear" w:color="auto" w:fill="auto"/>
            <w:vAlign w:val="center"/>
          </w:tcPr>
          <w:p w14:paraId="72E4DA55">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r w14:paraId="4B542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48" w:type="pct"/>
            <w:tcBorders>
              <w:tl2br w:val="nil"/>
              <w:tr2bl w:val="nil"/>
            </w:tcBorders>
            <w:shd w:val="clear" w:color="auto" w:fill="auto"/>
            <w:vAlign w:val="center"/>
          </w:tcPr>
          <w:p w14:paraId="139AA717">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7</w:t>
            </w:r>
          </w:p>
        </w:tc>
        <w:tc>
          <w:tcPr>
            <w:tcW w:w="1258" w:type="pct"/>
            <w:tcBorders>
              <w:tl2br w:val="nil"/>
              <w:tr2bl w:val="nil"/>
            </w:tcBorders>
            <w:shd w:val="clear" w:color="auto" w:fill="auto"/>
            <w:vAlign w:val="center"/>
          </w:tcPr>
          <w:p w14:paraId="2F08D182">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电池故障诊断</w:t>
            </w:r>
          </w:p>
        </w:tc>
        <w:tc>
          <w:tcPr>
            <w:tcW w:w="1273" w:type="pct"/>
            <w:tcBorders>
              <w:tl2br w:val="nil"/>
              <w:tr2bl w:val="nil"/>
            </w:tcBorders>
            <w:shd w:val="clear" w:color="auto" w:fill="auto"/>
            <w:vAlign w:val="center"/>
          </w:tcPr>
          <w:p w14:paraId="005A2BE4">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5.6</w:t>
            </w:r>
          </w:p>
        </w:tc>
        <w:tc>
          <w:tcPr>
            <w:tcW w:w="1302" w:type="pct"/>
            <w:tcBorders>
              <w:tl2br w:val="nil"/>
              <w:tr2bl w:val="nil"/>
            </w:tcBorders>
            <w:shd w:val="clear" w:color="auto" w:fill="auto"/>
            <w:vAlign w:val="center"/>
          </w:tcPr>
          <w:p w14:paraId="1E527E21">
            <w:pPr>
              <w:widowControl/>
              <w:spacing w:line="360" w:lineRule="auto"/>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6.4</w:t>
            </w:r>
          </w:p>
        </w:tc>
        <w:tc>
          <w:tcPr>
            <w:tcW w:w="716" w:type="pct"/>
            <w:tcBorders>
              <w:tl2br w:val="nil"/>
              <w:tr2bl w:val="nil"/>
            </w:tcBorders>
            <w:shd w:val="clear" w:color="auto" w:fill="auto"/>
            <w:vAlign w:val="center"/>
          </w:tcPr>
          <w:p w14:paraId="5DBD8996">
            <w:pPr>
              <w:widowControl/>
              <w:spacing w:line="360" w:lineRule="auto"/>
              <w:jc w:val="center"/>
              <w:rPr>
                <w:rFonts w:ascii="宋体" w:hAnsi="宋体" w:eastAsia="宋体" w:cs="宋体"/>
                <w:color w:val="000000"/>
                <w:kern w:val="0"/>
                <w:sz w:val="24"/>
                <w:szCs w:val="24"/>
              </w:rPr>
            </w:pPr>
            <w:r>
              <w:rPr>
                <w:rFonts w:hint="eastAsia" w:ascii="宋体" w:hAnsi="宋体" w:eastAsia="宋体" w:cs="宋体"/>
                <w:position w:val="1"/>
                <w:sz w:val="24"/>
                <w:szCs w:val="24"/>
              </w:rPr>
              <w:t>√</w:t>
            </w:r>
          </w:p>
        </w:tc>
      </w:tr>
    </w:tbl>
    <w:p w14:paraId="308FA972">
      <w:pPr>
        <w:pStyle w:val="14"/>
        <w:spacing w:line="360" w:lineRule="auto"/>
        <w:jc w:val="both"/>
        <w:rPr>
          <w:rFonts w:hint="default" w:ascii="宋体" w:hAnsi="宋体" w:eastAsia="宋体" w:cs="宋体"/>
          <w:sz w:val="24"/>
          <w:szCs w:val="24"/>
        </w:rPr>
      </w:pPr>
      <w:r>
        <w:rPr>
          <w:rFonts w:ascii="宋体" w:hAnsi="宋体" w:eastAsia="宋体" w:cs="宋体"/>
          <w:sz w:val="24"/>
          <w:szCs w:val="24"/>
        </w:rPr>
        <w:t>▲3.3</w:t>
      </w:r>
      <w:r>
        <w:rPr>
          <w:rFonts w:ascii="宋体" w:hAnsi="宋体" w:eastAsia="宋体" w:cs="宋体"/>
          <w:sz w:val="24"/>
          <w:szCs w:val="24"/>
          <w:lang w:eastAsia="zh-CN"/>
        </w:rPr>
        <w:t xml:space="preserve"> </w:t>
      </w:r>
      <w:r>
        <w:rPr>
          <w:rFonts w:ascii="宋体" w:hAnsi="宋体" w:eastAsia="宋体" w:cs="宋体"/>
          <w:sz w:val="24"/>
          <w:szCs w:val="24"/>
        </w:rPr>
        <w:t>具备软件测试参数采集与设置的功能，测试判定结果开放编辑功能。支持后续升级服务，可对现有硬件动作进行再升级，或者添加新硬件。软件保留液流BMS测试拓展功能。</w:t>
      </w:r>
    </w:p>
    <w:p w14:paraId="12644545">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评审指标125</w:t>
      </w:r>
      <w:r>
        <w:rPr>
          <w:rFonts w:hint="eastAsia" w:ascii="宋体" w:hAnsi="宋体" w:cs="宋体"/>
          <w:b/>
          <w:bCs/>
          <w:color w:val="auto"/>
          <w:sz w:val="24"/>
          <w:szCs w:val="24"/>
          <w:lang w:eastAsia="zh-CN"/>
        </w:rPr>
        <w:t>）</w:t>
      </w:r>
      <w:r>
        <w:rPr>
          <w:rFonts w:ascii="宋体" w:hAnsi="宋体" w:eastAsia="宋体" w:cs="宋体"/>
          <w:sz w:val="24"/>
          <w:szCs w:val="24"/>
        </w:rPr>
        <w:t>3.4</w:t>
      </w:r>
      <w:r>
        <w:rPr>
          <w:rFonts w:ascii="宋体" w:hAnsi="宋体" w:eastAsia="宋体" w:cs="宋体"/>
          <w:sz w:val="24"/>
          <w:szCs w:val="24"/>
          <w:lang w:eastAsia="zh-CN"/>
        </w:rPr>
        <w:t xml:space="preserve"> </w:t>
      </w:r>
      <w:r>
        <w:rPr>
          <w:rFonts w:ascii="宋体" w:hAnsi="宋体" w:eastAsia="宋体" w:cs="宋体"/>
          <w:sz w:val="24"/>
          <w:szCs w:val="24"/>
        </w:rPr>
        <w:t>需要根据客户端的指定格式进行开放测试报告输出功能，编辑报告可自动生成excel、Word格式数据报告。</w:t>
      </w:r>
    </w:p>
    <w:p w14:paraId="2BC22D27">
      <w:pPr>
        <w:pStyle w:val="14"/>
        <w:spacing w:line="360" w:lineRule="auto"/>
        <w:jc w:val="both"/>
        <w:rPr>
          <w:rFonts w:hint="default" w:ascii="宋体" w:hAnsi="宋体" w:eastAsia="宋体" w:cs="宋体"/>
          <w:sz w:val="24"/>
          <w:szCs w:val="24"/>
        </w:rPr>
      </w:pP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评审指标126</w:t>
      </w:r>
      <w:r>
        <w:rPr>
          <w:rFonts w:hint="eastAsia" w:ascii="宋体" w:hAnsi="宋体" w:cs="宋体"/>
          <w:b/>
          <w:bCs/>
          <w:color w:val="auto"/>
          <w:sz w:val="24"/>
          <w:szCs w:val="24"/>
          <w:lang w:eastAsia="zh-CN"/>
        </w:rPr>
        <w:t>）</w:t>
      </w:r>
      <w:r>
        <w:rPr>
          <w:rFonts w:ascii="宋体" w:hAnsi="宋体" w:eastAsia="宋体" w:cs="宋体"/>
          <w:sz w:val="24"/>
          <w:szCs w:val="24"/>
        </w:rPr>
        <w:t>3.5</w:t>
      </w:r>
      <w:r>
        <w:rPr>
          <w:rFonts w:ascii="宋体" w:hAnsi="宋体" w:eastAsia="宋体" w:cs="宋体"/>
          <w:sz w:val="24"/>
          <w:szCs w:val="24"/>
          <w:lang w:eastAsia="zh-CN"/>
        </w:rPr>
        <w:t xml:space="preserve"> </w:t>
      </w:r>
      <w:r>
        <w:rPr>
          <w:rFonts w:ascii="宋体" w:hAnsi="宋体" w:eastAsia="宋体" w:cs="宋体"/>
          <w:sz w:val="24"/>
          <w:szCs w:val="24"/>
        </w:rPr>
        <w:t>软件可设定不同使用者权限，确保测试编辑、发行、使用过程中不出现误修改的情况。</w:t>
      </w:r>
    </w:p>
    <w:p w14:paraId="534AF6C7">
      <w:pPr>
        <w:pStyle w:val="14"/>
        <w:spacing w:line="360" w:lineRule="auto"/>
        <w:jc w:val="both"/>
        <w:rPr>
          <w:rFonts w:hint="default" w:ascii="宋体" w:hAnsi="宋体" w:eastAsia="宋体" w:cs="宋体"/>
          <w:sz w:val="24"/>
          <w:szCs w:val="24"/>
        </w:rPr>
      </w:pPr>
      <w:r>
        <w:rPr>
          <w:rFonts w:ascii="宋体" w:hAnsi="宋体" w:eastAsia="宋体" w:cs="宋体"/>
          <w:sz w:val="24"/>
          <w:szCs w:val="24"/>
        </w:rPr>
        <w:t>▲3.6</w:t>
      </w:r>
      <w:r>
        <w:rPr>
          <w:rFonts w:ascii="宋体" w:hAnsi="宋体" w:eastAsia="宋体" w:cs="宋体"/>
          <w:sz w:val="24"/>
          <w:szCs w:val="24"/>
          <w:lang w:eastAsia="zh-CN"/>
        </w:rPr>
        <w:t xml:space="preserve"> </w:t>
      </w:r>
      <w:r>
        <w:rPr>
          <w:rFonts w:ascii="宋体" w:hAnsi="宋体" w:eastAsia="宋体" w:cs="宋体"/>
          <w:sz w:val="24"/>
          <w:szCs w:val="24"/>
        </w:rPr>
        <w:t>软件具备调试模式或调试工具，用于设备开机时的自我检测能力。</w:t>
      </w:r>
    </w:p>
    <w:p w14:paraId="7DEA0050">
      <w:pPr>
        <w:pStyle w:val="14"/>
        <w:spacing w:line="360" w:lineRule="auto"/>
        <w:jc w:val="both"/>
        <w:rPr>
          <w:b/>
          <w:bCs/>
        </w:rPr>
      </w:pPr>
      <w:r>
        <w:rPr>
          <w:rFonts w:ascii="宋体" w:hAnsi="宋体" w:eastAsia="宋体" w:cs="宋体"/>
          <w:b/>
          <w:bCs/>
          <w:sz w:val="24"/>
          <w:szCs w:val="24"/>
        </w:rPr>
        <w:t>3.7</w:t>
      </w:r>
      <w:r>
        <w:rPr>
          <w:rFonts w:ascii="宋体" w:hAnsi="宋体" w:eastAsia="宋体" w:cs="宋体"/>
          <w:b/>
          <w:bCs/>
          <w:sz w:val="24"/>
          <w:szCs w:val="24"/>
          <w:lang w:eastAsia="zh-CN"/>
        </w:rPr>
        <w:t xml:space="preserve"> 投标时</w:t>
      </w:r>
      <w:r>
        <w:rPr>
          <w:rFonts w:ascii="宋体" w:hAnsi="宋体" w:eastAsia="宋体" w:cs="宋体"/>
          <w:b/>
          <w:bCs/>
          <w:sz w:val="24"/>
          <w:szCs w:val="24"/>
        </w:rPr>
        <w:t>提供系统的第三方计量报告。</w:t>
      </w:r>
    </w:p>
    <w:p w14:paraId="6E86B3CE">
      <w:pPr>
        <w:pStyle w:val="14"/>
        <w:spacing w:line="360" w:lineRule="auto"/>
        <w:jc w:val="both"/>
        <w:rPr>
          <w:rFonts w:hint="eastAsia" w:eastAsia="宋体"/>
          <w:lang w:eastAsia="zh-CN"/>
        </w:rPr>
      </w:pPr>
      <w:r>
        <w:rPr>
          <w:rFonts w:ascii="宋体" w:hAnsi="宋体" w:eastAsia="宋体" w:cs="宋体"/>
          <w:b/>
          <w:sz w:val="24"/>
          <w:szCs w:val="24"/>
        </w:rPr>
        <w:t>4、具体配置要求</w:t>
      </w:r>
      <w:r>
        <w:rPr>
          <w:rFonts w:hint="eastAsia" w:ascii="宋体" w:hAnsi="宋体" w:eastAsia="宋体" w:cs="宋体"/>
          <w:b/>
          <w:sz w:val="24"/>
          <w:szCs w:val="24"/>
          <w:lang w:eastAsia="zh-CN"/>
        </w:rPr>
        <w:t>：</w:t>
      </w:r>
    </w:p>
    <w:tbl>
      <w:tblPr>
        <w:tblStyle w:val="11"/>
        <w:tblpPr w:leftFromText="180" w:rightFromText="180" w:vertAnchor="text" w:horzAnchor="margin" w:tblpXSpec="center" w:tblpY="62"/>
        <w:tblOverlap w:val="never"/>
        <w:tblW w:w="89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144"/>
        <w:gridCol w:w="5391"/>
        <w:gridCol w:w="844"/>
        <w:gridCol w:w="722"/>
      </w:tblGrid>
      <w:tr w14:paraId="3E24FC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8" w:hRule="atLeast"/>
          <w:tblHeader/>
          <w:jc w:val="center"/>
        </w:trPr>
        <w:tc>
          <w:tcPr>
            <w:tcW w:w="479" w:type="pct"/>
            <w:shd w:val="clear" w:color="auto" w:fill="F1F1F1"/>
            <w:vAlign w:val="center"/>
          </w:tcPr>
          <w:p w14:paraId="65A5D392">
            <w:pPr>
              <w:pStyle w:val="14"/>
              <w:spacing w:line="360" w:lineRule="auto"/>
              <w:rPr>
                <w:rFonts w:ascii="宋体" w:hAnsi="宋体" w:eastAsia="宋体" w:cs="宋体"/>
                <w:b/>
                <w:bCs/>
                <w:color w:val="000000"/>
                <w:kern w:val="0"/>
                <w:sz w:val="24"/>
                <w:szCs w:val="24"/>
              </w:rPr>
            </w:pPr>
            <w:bookmarkStart w:id="23" w:name="_Hlk192264943"/>
            <w:r>
              <w:rPr>
                <w:rFonts w:hint="eastAsia" w:ascii="宋体" w:hAnsi="宋体" w:eastAsia="宋体" w:cs="宋体"/>
                <w:b/>
                <w:bCs/>
                <w:color w:val="000000"/>
                <w:kern w:val="0"/>
                <w:sz w:val="24"/>
                <w:szCs w:val="24"/>
              </w:rPr>
              <w:t>序号</w:t>
            </w:r>
          </w:p>
        </w:tc>
        <w:tc>
          <w:tcPr>
            <w:tcW w:w="638" w:type="pct"/>
            <w:shd w:val="clear" w:color="auto" w:fill="F1F1F1"/>
            <w:vAlign w:val="center"/>
          </w:tcPr>
          <w:p w14:paraId="25B27703">
            <w:pPr>
              <w:widowControl/>
              <w:adjustRightInd w:val="0"/>
              <w:snapToGrid w:val="0"/>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3008" w:type="pct"/>
            <w:shd w:val="clear" w:color="auto" w:fill="F1F1F1"/>
            <w:vAlign w:val="center"/>
          </w:tcPr>
          <w:p w14:paraId="4A8C61F1">
            <w:pPr>
              <w:widowControl/>
              <w:adjustRightInd w:val="0"/>
              <w:snapToGrid w:val="0"/>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功能参数</w:t>
            </w:r>
          </w:p>
        </w:tc>
        <w:tc>
          <w:tcPr>
            <w:tcW w:w="470" w:type="pct"/>
            <w:shd w:val="clear" w:color="auto" w:fill="F1F1F1"/>
            <w:vAlign w:val="center"/>
          </w:tcPr>
          <w:p w14:paraId="069628B4">
            <w:pPr>
              <w:widowControl/>
              <w:adjustRightInd w:val="0"/>
              <w:snapToGrid w:val="0"/>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数量</w:t>
            </w:r>
          </w:p>
        </w:tc>
        <w:tc>
          <w:tcPr>
            <w:tcW w:w="402" w:type="pct"/>
            <w:shd w:val="clear" w:color="auto" w:fill="F1F1F1"/>
            <w:vAlign w:val="center"/>
          </w:tcPr>
          <w:p w14:paraId="49A4462D">
            <w:pPr>
              <w:widowControl/>
              <w:adjustRightInd w:val="0"/>
              <w:snapToGrid w:val="0"/>
              <w:spacing w:line="400" w:lineRule="exact"/>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单位</w:t>
            </w:r>
          </w:p>
        </w:tc>
      </w:tr>
      <w:tr w14:paraId="1CA0EB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shd w:val="clear" w:color="auto" w:fill="auto"/>
            <w:vAlign w:val="center"/>
          </w:tcPr>
          <w:p w14:paraId="2BF581EC">
            <w:pPr>
              <w:jc w:val="center"/>
              <w:rPr>
                <w:rFonts w:ascii="宋体" w:hAnsi="宋体" w:eastAsia="宋体" w:cs="宋体"/>
                <w:sz w:val="24"/>
                <w:szCs w:val="28"/>
              </w:rPr>
            </w:pPr>
            <w:r>
              <w:rPr>
                <w:rFonts w:hint="eastAsia" w:ascii="宋体" w:hAnsi="宋体" w:eastAsia="宋体" w:cs="宋体"/>
                <w:sz w:val="24"/>
                <w:szCs w:val="28"/>
              </w:rPr>
              <w:t>1</w:t>
            </w:r>
          </w:p>
        </w:tc>
        <w:tc>
          <w:tcPr>
            <w:tcW w:w="638" w:type="pct"/>
            <w:shd w:val="clear" w:color="auto" w:fill="auto"/>
            <w:vAlign w:val="center"/>
          </w:tcPr>
          <w:p w14:paraId="048612C7">
            <w:pPr>
              <w:spacing w:line="400" w:lineRule="exact"/>
              <w:jc w:val="center"/>
              <w:rPr>
                <w:rFonts w:ascii="宋体" w:hAnsi="宋体" w:eastAsia="宋体" w:cs="宋体"/>
                <w:sz w:val="24"/>
                <w:szCs w:val="24"/>
              </w:rPr>
            </w:pPr>
            <w:r>
              <w:rPr>
                <w:rFonts w:hint="eastAsia" w:ascii="宋体" w:hAnsi="宋体" w:eastAsia="宋体" w:cs="宋体"/>
                <w:sz w:val="24"/>
                <w:szCs w:val="24"/>
              </w:rPr>
              <w:t>高精度双象限电池模拟器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评审指标127</w:t>
            </w:r>
            <w:r>
              <w:rPr>
                <w:rFonts w:hint="eastAsia" w:ascii="宋体" w:hAnsi="宋体" w:cs="宋体"/>
                <w:b/>
                <w:bCs/>
                <w:color w:val="auto"/>
                <w:sz w:val="24"/>
                <w:szCs w:val="24"/>
                <w:lang w:eastAsia="zh-CN"/>
              </w:rPr>
              <w:t>）</w:t>
            </w:r>
          </w:p>
        </w:tc>
        <w:tc>
          <w:tcPr>
            <w:tcW w:w="3008" w:type="pct"/>
            <w:shd w:val="clear" w:color="auto" w:fill="auto"/>
            <w:vAlign w:val="center"/>
          </w:tcPr>
          <w:p w14:paraId="268B202E">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功能：模拟单体电芯电压、电流、内阻、支持主/被动均衡测试；每通道内置正负极短路、正负极断路、极性反接模拟故障功能。</w:t>
            </w:r>
          </w:p>
          <w:p w14:paraId="425E4DEB">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参数：</w:t>
            </w:r>
          </w:p>
          <w:p w14:paraId="36DFF59B">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电压规格∶0</w:t>
            </w:r>
            <w:r>
              <w:rPr>
                <w:rFonts w:ascii="宋体" w:hAnsi="宋体" w:eastAsia="宋体" w:cs="宋体"/>
                <w:sz w:val="24"/>
                <w:szCs w:val="24"/>
                <w:highlight w:val="none"/>
              </w:rPr>
              <w:t>~</w:t>
            </w:r>
            <w:r>
              <w:rPr>
                <w:rFonts w:hint="eastAsia" w:ascii="宋体" w:hAnsi="宋体" w:eastAsia="宋体" w:cs="宋体"/>
                <w:sz w:val="24"/>
                <w:szCs w:val="24"/>
                <w:highlight w:val="none"/>
              </w:rPr>
              <w:t>6V</w:t>
            </w:r>
          </w:p>
          <w:p w14:paraId="48DE0EDA">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电流规格∶±5A</w:t>
            </w:r>
          </w:p>
          <w:p w14:paraId="09ECAF58">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电压精度：±0.6mV</w:t>
            </w:r>
          </w:p>
          <w:p w14:paraId="580F76E5">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高集成度，单机24通道，通道间隔离</w:t>
            </w:r>
          </w:p>
          <w:p w14:paraId="6451044F">
            <w:pPr>
              <w:spacing w:line="400" w:lineRule="exact"/>
              <w:jc w:val="left"/>
              <w:rPr>
                <w:rFonts w:ascii="宋体" w:hAnsi="宋体" w:eastAsia="宋体" w:cs="宋体"/>
                <w:sz w:val="24"/>
                <w:szCs w:val="24"/>
                <w:highlight w:val="none"/>
              </w:rPr>
            </w:pPr>
            <w:r>
              <w:rPr>
                <w:rFonts w:hint="eastAsia" w:ascii="宋体" w:hAnsi="宋体" w:eastAsia="宋体" w:cs="宋体"/>
                <w:sz w:val="24"/>
                <w:szCs w:val="24"/>
                <w:highlight w:val="none"/>
              </w:rPr>
              <w:t>电流精度：1μA （量程：-1~1mA），5mA （量程：-5~5A）</w:t>
            </w:r>
          </w:p>
        </w:tc>
        <w:tc>
          <w:tcPr>
            <w:tcW w:w="470" w:type="pct"/>
            <w:shd w:val="clear" w:color="auto" w:fill="auto"/>
            <w:vAlign w:val="center"/>
          </w:tcPr>
          <w:p w14:paraId="131F31BB">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sz w:val="24"/>
                <w:szCs w:val="24"/>
              </w:rPr>
              <w:t>5</w:t>
            </w:r>
          </w:p>
        </w:tc>
        <w:tc>
          <w:tcPr>
            <w:tcW w:w="402" w:type="pct"/>
            <w:shd w:val="clear" w:color="auto" w:fill="auto"/>
            <w:vAlign w:val="center"/>
          </w:tcPr>
          <w:p w14:paraId="2EC37D0B">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sz w:val="24"/>
                <w:szCs w:val="24"/>
              </w:rPr>
              <w:t>台</w:t>
            </w:r>
          </w:p>
        </w:tc>
      </w:tr>
      <w:tr w14:paraId="138F74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shd w:val="clear" w:color="auto" w:fill="auto"/>
            <w:vAlign w:val="center"/>
          </w:tcPr>
          <w:p w14:paraId="6489E5FB">
            <w:pPr>
              <w:jc w:val="center"/>
              <w:rPr>
                <w:rFonts w:ascii="宋体" w:hAnsi="宋体" w:eastAsia="宋体" w:cs="宋体"/>
                <w:sz w:val="24"/>
                <w:szCs w:val="28"/>
              </w:rPr>
            </w:pPr>
            <w:r>
              <w:rPr>
                <w:rFonts w:hint="eastAsia" w:ascii="宋体" w:hAnsi="宋体" w:eastAsia="宋体" w:cs="宋体"/>
                <w:sz w:val="24"/>
                <w:szCs w:val="28"/>
              </w:rPr>
              <w:t>2</w:t>
            </w:r>
          </w:p>
        </w:tc>
        <w:tc>
          <w:tcPr>
            <w:tcW w:w="638" w:type="pct"/>
            <w:shd w:val="clear" w:color="auto" w:fill="auto"/>
            <w:vAlign w:val="center"/>
          </w:tcPr>
          <w:p w14:paraId="1948BA4F">
            <w:pPr>
              <w:spacing w:line="400" w:lineRule="exact"/>
              <w:jc w:val="center"/>
              <w:rPr>
                <w:rFonts w:ascii="宋体" w:hAnsi="宋体" w:eastAsia="宋体" w:cs="宋体"/>
                <w:sz w:val="24"/>
                <w:szCs w:val="24"/>
              </w:rPr>
            </w:pPr>
            <w:r>
              <w:rPr>
                <w:rFonts w:hint="eastAsia" w:ascii="宋体" w:hAnsi="宋体" w:eastAsia="宋体" w:cs="宋体"/>
                <w:sz w:val="24"/>
                <w:szCs w:val="24"/>
              </w:rPr>
              <w:t>可编程电阻卡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评审指标128</w:t>
            </w:r>
            <w:r>
              <w:rPr>
                <w:rFonts w:hint="eastAsia" w:ascii="宋体" w:hAnsi="宋体" w:cs="宋体"/>
                <w:b/>
                <w:bCs/>
                <w:color w:val="auto"/>
                <w:sz w:val="24"/>
                <w:szCs w:val="24"/>
                <w:lang w:eastAsia="zh-CN"/>
              </w:rPr>
              <w:t>）</w:t>
            </w:r>
          </w:p>
        </w:tc>
        <w:tc>
          <w:tcPr>
            <w:tcW w:w="3008" w:type="pct"/>
            <w:shd w:val="clear" w:color="auto" w:fill="auto"/>
            <w:vAlign w:val="center"/>
          </w:tcPr>
          <w:p w14:paraId="1620204D">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功能：模拟NTC热敏电阻，实现对BMS温度采集精度测试.</w:t>
            </w:r>
          </w:p>
          <w:p w14:paraId="6983D4E8">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p w14:paraId="018BA532">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通道：8通道</w:t>
            </w:r>
          </w:p>
          <w:p w14:paraId="654D2BA1">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电阻范围：0Ω（短路）~1.11MΩ；</w:t>
            </w:r>
          </w:p>
          <w:p w14:paraId="5C8FAFBB">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电阻精度：±0.1%；</w:t>
            </w:r>
          </w:p>
          <w:p w14:paraId="0F5581FD">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分辨率：1Ω</w:t>
            </w:r>
            <w:r>
              <w:rPr>
                <w:rFonts w:ascii="Times New Roman" w:hAnsi="Times New Roman" w:eastAsia="宋体" w:cs="Times New Roman"/>
                <w:color w:val="auto"/>
                <w:sz w:val="24"/>
                <w:szCs w:val="24"/>
                <w:highlight w:val="none"/>
              </w:rPr>
              <w:t>~2Ω</w:t>
            </w:r>
            <w:r>
              <w:rPr>
                <w:rFonts w:hint="eastAsia" w:ascii="宋体" w:hAnsi="宋体" w:eastAsia="宋体" w:cs="宋体"/>
                <w:color w:val="auto"/>
                <w:sz w:val="24"/>
                <w:szCs w:val="24"/>
                <w:highlight w:val="none"/>
              </w:rPr>
              <w:t>。</w:t>
            </w:r>
          </w:p>
          <w:p w14:paraId="5E686D59">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占用4HP空间，NXI-F1080可以装16个4HP卡</w:t>
            </w:r>
          </w:p>
        </w:tc>
        <w:tc>
          <w:tcPr>
            <w:tcW w:w="470" w:type="pct"/>
            <w:shd w:val="clear" w:color="auto" w:fill="auto"/>
            <w:vAlign w:val="center"/>
          </w:tcPr>
          <w:p w14:paraId="6737D023">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16</w:t>
            </w:r>
          </w:p>
        </w:tc>
        <w:tc>
          <w:tcPr>
            <w:tcW w:w="402" w:type="pct"/>
            <w:shd w:val="clear" w:color="auto" w:fill="auto"/>
            <w:vAlign w:val="center"/>
          </w:tcPr>
          <w:p w14:paraId="6338C2A1">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张</w:t>
            </w:r>
          </w:p>
        </w:tc>
      </w:tr>
      <w:tr w14:paraId="1763B6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shd w:val="clear" w:color="auto" w:fill="auto"/>
            <w:vAlign w:val="center"/>
          </w:tcPr>
          <w:p w14:paraId="016BAC52">
            <w:pPr>
              <w:jc w:val="center"/>
              <w:rPr>
                <w:rFonts w:ascii="宋体" w:hAnsi="宋体" w:eastAsia="宋体" w:cs="宋体"/>
                <w:sz w:val="24"/>
                <w:szCs w:val="28"/>
              </w:rPr>
            </w:pPr>
            <w:r>
              <w:rPr>
                <w:rFonts w:hint="eastAsia" w:ascii="宋体" w:hAnsi="宋体" w:eastAsia="宋体" w:cs="宋体"/>
                <w:sz w:val="24"/>
                <w:szCs w:val="28"/>
              </w:rPr>
              <w:t>3</w:t>
            </w:r>
          </w:p>
        </w:tc>
        <w:tc>
          <w:tcPr>
            <w:tcW w:w="638" w:type="pct"/>
            <w:shd w:val="clear" w:color="auto" w:fill="auto"/>
            <w:vAlign w:val="center"/>
          </w:tcPr>
          <w:p w14:paraId="1ABE7CF0">
            <w:pPr>
              <w:spacing w:line="400" w:lineRule="exact"/>
              <w:jc w:val="center"/>
              <w:rPr>
                <w:rFonts w:ascii="宋体" w:hAnsi="宋体" w:eastAsia="宋体" w:cs="宋体"/>
                <w:sz w:val="24"/>
                <w:szCs w:val="24"/>
              </w:rPr>
            </w:pPr>
            <w:r>
              <w:rPr>
                <w:rFonts w:hint="eastAsia" w:ascii="宋体" w:hAnsi="宋体" w:eastAsia="宋体" w:cs="宋体"/>
                <w:sz w:val="24"/>
                <w:szCs w:val="24"/>
              </w:rPr>
              <w:t>可编程直流电源</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评审指标129</w:t>
            </w:r>
            <w:r>
              <w:rPr>
                <w:rFonts w:hint="eastAsia" w:ascii="宋体" w:hAnsi="宋体" w:cs="宋体"/>
                <w:b/>
                <w:bCs/>
                <w:color w:val="auto"/>
                <w:sz w:val="24"/>
                <w:szCs w:val="24"/>
                <w:lang w:eastAsia="zh-CN"/>
              </w:rPr>
              <w:t>）</w:t>
            </w:r>
          </w:p>
        </w:tc>
        <w:tc>
          <w:tcPr>
            <w:tcW w:w="3008" w:type="pct"/>
            <w:shd w:val="clear" w:color="auto" w:fill="auto"/>
            <w:vAlign w:val="center"/>
          </w:tcPr>
          <w:p w14:paraId="18CBD10B">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功能：模拟BMS总电压</w:t>
            </w:r>
          </w:p>
          <w:p w14:paraId="5E1F4768">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p w14:paraId="71035002">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电压规格：±2.5KV；</w:t>
            </w:r>
          </w:p>
          <w:p w14:paraId="2721628D">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电流规格：0</w:t>
            </w:r>
            <w:r>
              <w:rPr>
                <w:rFonts w:ascii="Arial" w:hAnsi="Arial" w:eastAsia="宋体" w:cs="Arial"/>
                <w:color w:val="auto"/>
                <w:sz w:val="24"/>
                <w:szCs w:val="24"/>
                <w:highlight w:val="none"/>
              </w:rPr>
              <w:t>~</w:t>
            </w:r>
            <w:r>
              <w:rPr>
                <w:rFonts w:hint="eastAsia" w:ascii="宋体" w:hAnsi="宋体" w:eastAsia="宋体" w:cs="宋体"/>
                <w:color w:val="auto"/>
                <w:sz w:val="24"/>
                <w:szCs w:val="24"/>
                <w:highlight w:val="none"/>
              </w:rPr>
              <w:t>0.01A；</w:t>
            </w:r>
          </w:p>
          <w:p w14:paraId="46CE7E95">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功率规格：0</w:t>
            </w:r>
            <w:r>
              <w:rPr>
                <w:rFonts w:ascii="Arial" w:hAnsi="Arial" w:eastAsia="宋体" w:cs="Arial"/>
                <w:color w:val="auto"/>
                <w:sz w:val="24"/>
                <w:szCs w:val="24"/>
                <w:highlight w:val="none"/>
              </w:rPr>
              <w:t>~</w:t>
            </w:r>
            <w:r>
              <w:rPr>
                <w:rFonts w:hint="eastAsia" w:ascii="宋体" w:hAnsi="宋体" w:eastAsia="宋体" w:cs="宋体"/>
                <w:color w:val="auto"/>
                <w:sz w:val="24"/>
                <w:szCs w:val="24"/>
                <w:highlight w:val="none"/>
              </w:rPr>
              <w:t>25W；</w:t>
            </w:r>
          </w:p>
          <w:p w14:paraId="7ADAFF47">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电压精度：≤0.01%+0.05%F.S.；</w:t>
            </w:r>
          </w:p>
          <w:p w14:paraId="3E804F3D">
            <w:pPr>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OVP/OCP/OTP多重保护。</w:t>
            </w:r>
          </w:p>
        </w:tc>
        <w:tc>
          <w:tcPr>
            <w:tcW w:w="470" w:type="pct"/>
            <w:shd w:val="clear" w:color="auto" w:fill="auto"/>
            <w:vAlign w:val="center"/>
          </w:tcPr>
          <w:p w14:paraId="5B6CA828">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402" w:type="pct"/>
            <w:shd w:val="clear" w:color="auto" w:fill="auto"/>
            <w:vAlign w:val="center"/>
          </w:tcPr>
          <w:p w14:paraId="727BEDEE">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台</w:t>
            </w:r>
          </w:p>
        </w:tc>
      </w:tr>
      <w:tr w14:paraId="35FDF2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79" w:type="pct"/>
            <w:shd w:val="clear" w:color="auto" w:fill="auto"/>
            <w:vAlign w:val="center"/>
          </w:tcPr>
          <w:p w14:paraId="6767B8BF">
            <w:pPr>
              <w:jc w:val="center"/>
              <w:rPr>
                <w:rFonts w:ascii="宋体" w:hAnsi="宋体" w:eastAsia="宋体" w:cs="宋体"/>
                <w:sz w:val="24"/>
                <w:szCs w:val="28"/>
              </w:rPr>
            </w:pPr>
            <w:r>
              <w:rPr>
                <w:rFonts w:hint="eastAsia" w:ascii="宋体" w:hAnsi="宋体" w:eastAsia="宋体" w:cs="宋体"/>
                <w:sz w:val="24"/>
                <w:szCs w:val="28"/>
              </w:rPr>
              <w:t>4</w:t>
            </w:r>
          </w:p>
        </w:tc>
        <w:tc>
          <w:tcPr>
            <w:tcW w:w="638" w:type="pct"/>
            <w:shd w:val="clear" w:color="auto" w:fill="auto"/>
            <w:vAlign w:val="center"/>
          </w:tcPr>
          <w:p w14:paraId="11276A08">
            <w:pPr>
              <w:spacing w:line="400" w:lineRule="exact"/>
              <w:jc w:val="center"/>
              <w:rPr>
                <w:rFonts w:ascii="宋体" w:hAnsi="宋体" w:eastAsia="宋体" w:cs="宋体"/>
                <w:sz w:val="24"/>
                <w:szCs w:val="24"/>
              </w:rPr>
            </w:pPr>
            <w:r>
              <w:rPr>
                <w:rFonts w:hint="eastAsia" w:ascii="宋体" w:hAnsi="宋体" w:eastAsia="宋体" w:cs="宋体"/>
                <w:sz w:val="24"/>
                <w:szCs w:val="24"/>
              </w:rPr>
              <w:t>可编程直流电源</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评审指标130</w:t>
            </w:r>
            <w:r>
              <w:rPr>
                <w:rFonts w:hint="eastAsia" w:ascii="宋体" w:hAnsi="宋体" w:cs="宋体"/>
                <w:b/>
                <w:bCs/>
                <w:color w:val="auto"/>
                <w:sz w:val="24"/>
                <w:szCs w:val="24"/>
                <w:lang w:eastAsia="zh-CN"/>
              </w:rPr>
              <w:t>）</w:t>
            </w:r>
          </w:p>
        </w:tc>
        <w:tc>
          <w:tcPr>
            <w:tcW w:w="3008" w:type="pct"/>
            <w:shd w:val="clear" w:color="auto" w:fill="auto"/>
            <w:vAlign w:val="center"/>
          </w:tcPr>
          <w:p w14:paraId="301B64F0">
            <w:pPr>
              <w:spacing w:line="400" w:lineRule="exact"/>
              <w:jc w:val="left"/>
              <w:rPr>
                <w:rFonts w:ascii="宋体" w:hAnsi="宋体" w:eastAsia="宋体" w:cs="宋体"/>
                <w:sz w:val="24"/>
                <w:szCs w:val="24"/>
              </w:rPr>
            </w:pPr>
            <w:r>
              <w:rPr>
                <w:rFonts w:hint="eastAsia" w:ascii="宋体" w:hAnsi="宋体" w:eastAsia="宋体" w:cs="宋体"/>
                <w:sz w:val="24"/>
                <w:szCs w:val="24"/>
              </w:rPr>
              <w:t>功能：用于BMS供电电气适应性测试</w:t>
            </w:r>
          </w:p>
          <w:p w14:paraId="25FC0F39">
            <w:pPr>
              <w:spacing w:line="400" w:lineRule="exact"/>
              <w:jc w:val="left"/>
              <w:rPr>
                <w:rFonts w:ascii="宋体" w:hAnsi="宋体" w:eastAsia="宋体" w:cs="宋体"/>
                <w:sz w:val="24"/>
                <w:szCs w:val="24"/>
              </w:rPr>
            </w:pPr>
            <w:r>
              <w:rPr>
                <w:rFonts w:hint="eastAsia" w:ascii="宋体" w:hAnsi="宋体" w:eastAsia="宋体" w:cs="宋体"/>
                <w:sz w:val="24"/>
                <w:szCs w:val="24"/>
              </w:rPr>
              <w:t>参数：</w:t>
            </w:r>
          </w:p>
          <w:p w14:paraId="51E0D4D9">
            <w:pPr>
              <w:spacing w:line="400" w:lineRule="exact"/>
              <w:jc w:val="left"/>
              <w:rPr>
                <w:rFonts w:ascii="宋体" w:hAnsi="宋体" w:eastAsia="宋体" w:cs="宋体"/>
                <w:sz w:val="24"/>
                <w:szCs w:val="24"/>
              </w:rPr>
            </w:pPr>
            <w:r>
              <w:rPr>
                <w:rFonts w:hint="eastAsia" w:ascii="宋体" w:hAnsi="宋体" w:eastAsia="宋体" w:cs="宋体"/>
                <w:sz w:val="24"/>
                <w:szCs w:val="24"/>
              </w:rPr>
              <w:t>输出规格：40V/50A/900W</w:t>
            </w:r>
          </w:p>
          <w:p w14:paraId="39526C30">
            <w:pPr>
              <w:spacing w:line="400" w:lineRule="exact"/>
              <w:jc w:val="left"/>
              <w:rPr>
                <w:rFonts w:ascii="宋体" w:hAnsi="宋体" w:eastAsia="宋体" w:cs="宋体"/>
                <w:sz w:val="24"/>
                <w:szCs w:val="24"/>
              </w:rPr>
            </w:pPr>
            <w:r>
              <w:rPr>
                <w:rFonts w:hint="eastAsia" w:ascii="宋体" w:hAnsi="宋体" w:eastAsia="宋体" w:cs="宋体"/>
                <w:sz w:val="24"/>
                <w:szCs w:val="24"/>
              </w:rPr>
              <w:t>电压精度：0.03%+0.02%F.S.</w:t>
            </w:r>
          </w:p>
          <w:p w14:paraId="2A0D41BC">
            <w:pPr>
              <w:spacing w:line="400" w:lineRule="exact"/>
              <w:jc w:val="left"/>
              <w:rPr>
                <w:rFonts w:ascii="宋体" w:hAnsi="宋体" w:eastAsia="宋体" w:cs="宋体"/>
                <w:sz w:val="24"/>
                <w:szCs w:val="24"/>
              </w:rPr>
            </w:pPr>
            <w:r>
              <w:rPr>
                <w:rFonts w:hint="eastAsia" w:ascii="宋体" w:hAnsi="宋体" w:eastAsia="宋体" w:cs="宋体"/>
                <w:sz w:val="24"/>
                <w:szCs w:val="24"/>
              </w:rPr>
              <w:t>电流精度：0.1%+0.1%F.S.</w:t>
            </w:r>
          </w:p>
          <w:p w14:paraId="599F8A09">
            <w:pPr>
              <w:spacing w:line="400" w:lineRule="exact"/>
              <w:jc w:val="left"/>
              <w:rPr>
                <w:rFonts w:ascii="宋体" w:hAnsi="宋体" w:eastAsia="宋体" w:cs="宋体"/>
                <w:sz w:val="24"/>
                <w:szCs w:val="24"/>
              </w:rPr>
            </w:pPr>
            <w:r>
              <w:rPr>
                <w:rFonts w:hint="eastAsia" w:ascii="宋体" w:hAnsi="宋体" w:eastAsia="宋体" w:cs="宋体"/>
                <w:sz w:val="24"/>
                <w:szCs w:val="24"/>
              </w:rPr>
              <w:t>高速动态响应，电压上升下降时间≤10ms</w:t>
            </w:r>
          </w:p>
          <w:p w14:paraId="587F52B6">
            <w:pPr>
              <w:spacing w:line="400" w:lineRule="exact"/>
              <w:jc w:val="left"/>
              <w:rPr>
                <w:rFonts w:ascii="宋体" w:hAnsi="宋体" w:eastAsia="宋体" w:cs="宋体"/>
                <w:sz w:val="24"/>
                <w:szCs w:val="24"/>
              </w:rPr>
            </w:pPr>
            <w:r>
              <w:rPr>
                <w:rFonts w:hint="eastAsia" w:ascii="宋体" w:hAnsi="宋体" w:eastAsia="宋体" w:cs="宋体"/>
                <w:sz w:val="24"/>
                <w:szCs w:val="24"/>
              </w:rPr>
              <w:t>配合N3000CS-100电流换向器</w:t>
            </w:r>
          </w:p>
          <w:p w14:paraId="2794E8FC">
            <w:pPr>
              <w:spacing w:line="400" w:lineRule="exact"/>
              <w:jc w:val="left"/>
              <w:rPr>
                <w:rFonts w:ascii="宋体" w:hAnsi="宋体" w:eastAsia="宋体" w:cs="宋体"/>
                <w:sz w:val="24"/>
                <w:szCs w:val="24"/>
              </w:rPr>
            </w:pPr>
            <w:r>
              <w:rPr>
                <w:rFonts w:hint="eastAsia" w:ascii="宋体" w:hAnsi="宋体" w:eastAsia="宋体" w:cs="宋体"/>
                <w:sz w:val="24"/>
                <w:szCs w:val="24"/>
              </w:rPr>
              <w:t>标配LAN/RS232/RS485/CAN通讯控制</w:t>
            </w:r>
          </w:p>
          <w:p w14:paraId="16BACF5C">
            <w:pPr>
              <w:spacing w:line="400" w:lineRule="exact"/>
              <w:jc w:val="left"/>
              <w:rPr>
                <w:rFonts w:ascii="宋体" w:hAnsi="宋体" w:eastAsia="宋体" w:cs="宋体"/>
                <w:sz w:val="24"/>
                <w:szCs w:val="24"/>
              </w:rPr>
            </w:pPr>
            <w:r>
              <w:rPr>
                <w:rFonts w:hint="eastAsia" w:ascii="宋体" w:hAnsi="宋体" w:eastAsia="宋体" w:cs="宋体"/>
                <w:sz w:val="24"/>
                <w:szCs w:val="24"/>
              </w:rPr>
              <w:t>具备供电反极性测试功能</w:t>
            </w:r>
          </w:p>
        </w:tc>
        <w:tc>
          <w:tcPr>
            <w:tcW w:w="470" w:type="pct"/>
            <w:shd w:val="clear" w:color="auto" w:fill="auto"/>
            <w:vAlign w:val="center"/>
          </w:tcPr>
          <w:p w14:paraId="17B1BEA9">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1</w:t>
            </w:r>
          </w:p>
        </w:tc>
        <w:tc>
          <w:tcPr>
            <w:tcW w:w="402" w:type="pct"/>
            <w:shd w:val="clear" w:color="auto" w:fill="auto"/>
            <w:vAlign w:val="center"/>
          </w:tcPr>
          <w:p w14:paraId="18EC22C1">
            <w:pPr>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台</w:t>
            </w:r>
          </w:p>
        </w:tc>
      </w:tr>
      <w:tr w14:paraId="67ADA2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479" w:type="pct"/>
            <w:shd w:val="clear" w:color="auto" w:fill="auto"/>
            <w:vAlign w:val="center"/>
          </w:tcPr>
          <w:p w14:paraId="6A5D1309">
            <w:pPr>
              <w:jc w:val="center"/>
              <w:rPr>
                <w:rFonts w:ascii="宋体" w:hAnsi="宋体" w:eastAsia="宋体" w:cs="宋体"/>
                <w:sz w:val="24"/>
                <w:szCs w:val="28"/>
              </w:rPr>
            </w:pPr>
            <w:r>
              <w:rPr>
                <w:rFonts w:hint="eastAsia" w:ascii="宋体" w:hAnsi="宋体" w:eastAsia="宋体" w:cs="宋体"/>
                <w:sz w:val="24"/>
                <w:szCs w:val="28"/>
              </w:rPr>
              <w:t>5</w:t>
            </w:r>
          </w:p>
        </w:tc>
        <w:tc>
          <w:tcPr>
            <w:tcW w:w="638" w:type="pct"/>
            <w:shd w:val="clear" w:color="auto" w:fill="auto"/>
            <w:vAlign w:val="center"/>
          </w:tcPr>
          <w:p w14:paraId="0FB02F2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可编程直流电源</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评审指标131</w:t>
            </w:r>
            <w:r>
              <w:rPr>
                <w:rFonts w:hint="eastAsia" w:ascii="宋体" w:hAnsi="宋体" w:cs="宋体"/>
                <w:b/>
                <w:bCs/>
                <w:color w:val="auto"/>
                <w:sz w:val="24"/>
                <w:szCs w:val="24"/>
                <w:lang w:eastAsia="zh-CN"/>
              </w:rPr>
              <w:t>）</w:t>
            </w:r>
          </w:p>
        </w:tc>
        <w:tc>
          <w:tcPr>
            <w:tcW w:w="3008" w:type="pct"/>
            <w:shd w:val="clear" w:color="auto" w:fill="auto"/>
            <w:vAlign w:val="center"/>
          </w:tcPr>
          <w:p w14:paraId="750E3180">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功能：用于储能BMS供电性能测试、高压IO卡供电。</w:t>
            </w:r>
          </w:p>
          <w:p w14:paraId="3C8DF423">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参数：</w:t>
            </w:r>
          </w:p>
          <w:p w14:paraId="2CDBA747">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输出规格：60 V/3 A；串120 V/并6 A</w:t>
            </w:r>
          </w:p>
          <w:p w14:paraId="01AD09FE">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纯线性电源，低纹波噪声</w:t>
            </w:r>
          </w:p>
          <w:p w14:paraId="6664F56A">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电压精度：0.02%+20 mV；</w:t>
            </w:r>
          </w:p>
          <w:p w14:paraId="4A27E0CA">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分辨率：0.1 mV/0.1 mA。</w:t>
            </w:r>
          </w:p>
        </w:tc>
        <w:tc>
          <w:tcPr>
            <w:tcW w:w="470" w:type="pct"/>
            <w:shd w:val="clear" w:color="auto" w:fill="auto"/>
            <w:vAlign w:val="center"/>
          </w:tcPr>
          <w:p w14:paraId="76E78AD5">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02" w:type="pct"/>
            <w:shd w:val="clear" w:color="auto" w:fill="auto"/>
            <w:vAlign w:val="center"/>
          </w:tcPr>
          <w:p w14:paraId="2BC60B56">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0CDB64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79" w:type="pct"/>
            <w:vMerge w:val="restart"/>
            <w:shd w:val="clear" w:color="auto" w:fill="auto"/>
            <w:vAlign w:val="center"/>
          </w:tcPr>
          <w:p w14:paraId="0B49AF04">
            <w:pPr>
              <w:jc w:val="center"/>
              <w:rPr>
                <w:rFonts w:ascii="宋体" w:hAnsi="宋体" w:eastAsia="宋体" w:cs="宋体"/>
                <w:sz w:val="24"/>
                <w:szCs w:val="28"/>
              </w:rPr>
            </w:pPr>
            <w:r>
              <w:rPr>
                <w:rFonts w:hint="eastAsia" w:ascii="宋体" w:hAnsi="宋体" w:eastAsia="宋体" w:cs="宋体"/>
                <w:sz w:val="24"/>
                <w:szCs w:val="28"/>
              </w:rPr>
              <w:t>6</w:t>
            </w:r>
          </w:p>
        </w:tc>
        <w:tc>
          <w:tcPr>
            <w:tcW w:w="638" w:type="pct"/>
            <w:shd w:val="clear" w:color="auto" w:fill="auto"/>
            <w:vAlign w:val="center"/>
          </w:tcPr>
          <w:p w14:paraId="24CBEB52">
            <w:pPr>
              <w:widowControl/>
              <w:adjustRightInd w:val="0"/>
              <w:snapToGrid w:val="0"/>
              <w:spacing w:line="400" w:lineRule="exact"/>
              <w:jc w:val="center"/>
              <w:rPr>
                <w:rFonts w:ascii="宋体" w:hAnsi="宋体" w:eastAsia="宋体" w:cs="宋体"/>
                <w:sz w:val="24"/>
                <w:szCs w:val="24"/>
              </w:rPr>
            </w:pPr>
            <w:r>
              <w:rPr>
                <w:rFonts w:hint="eastAsia" w:ascii="宋体" w:hAnsi="宋体" w:eastAsia="宋体" w:cs="宋体"/>
                <w:sz w:val="24"/>
                <w:szCs w:val="24"/>
              </w:rPr>
              <w:t>可编程直流电源</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评审指标132</w:t>
            </w:r>
            <w:r>
              <w:rPr>
                <w:rFonts w:hint="eastAsia" w:ascii="宋体" w:hAnsi="宋体" w:cs="宋体"/>
                <w:b/>
                <w:bCs/>
                <w:color w:val="auto"/>
                <w:sz w:val="24"/>
                <w:szCs w:val="24"/>
                <w:lang w:eastAsia="zh-CN"/>
              </w:rPr>
              <w:t>）</w:t>
            </w:r>
          </w:p>
        </w:tc>
        <w:tc>
          <w:tcPr>
            <w:tcW w:w="3008" w:type="pct"/>
            <w:shd w:val="clear" w:color="auto" w:fill="auto"/>
            <w:vAlign w:val="center"/>
          </w:tcPr>
          <w:p w14:paraId="3E0F6B7A">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功能：模拟BMS总电流</w:t>
            </w:r>
          </w:p>
          <w:p w14:paraId="709AF41F">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参数：</w:t>
            </w:r>
          </w:p>
          <w:p w14:paraId="03942A13">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电流规格：0～1100 A；精度：0.1%+0.1%F.S.</w:t>
            </w:r>
          </w:p>
          <w:p w14:paraId="661EC216">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电压规格：0～20 V；精度：0.03%+0.02%F.S.</w:t>
            </w:r>
          </w:p>
          <w:p w14:paraId="4508C61F">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功率规格：0</w:t>
            </w:r>
            <w:r>
              <w:rPr>
                <w:rFonts w:ascii="Arial" w:hAnsi="Arial" w:eastAsia="宋体" w:cs="Arial"/>
                <w:color w:val="auto"/>
                <w:sz w:val="24"/>
                <w:szCs w:val="24"/>
                <w:highlight w:val="none"/>
              </w:rPr>
              <w:t>~</w:t>
            </w:r>
            <w:r>
              <w:rPr>
                <w:rFonts w:hint="eastAsia" w:ascii="宋体" w:hAnsi="宋体" w:eastAsia="宋体" w:cs="宋体"/>
                <w:color w:val="auto"/>
                <w:sz w:val="24"/>
                <w:szCs w:val="24"/>
                <w:highlight w:val="none"/>
              </w:rPr>
              <w:t>10000 W；</w:t>
            </w:r>
          </w:p>
          <w:p w14:paraId="7CA55DF6">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宽范围设计，支持多台同型号联机扩展功率。</w:t>
            </w:r>
          </w:p>
        </w:tc>
        <w:tc>
          <w:tcPr>
            <w:tcW w:w="470" w:type="pct"/>
            <w:shd w:val="clear" w:color="auto" w:fill="auto"/>
            <w:vAlign w:val="center"/>
          </w:tcPr>
          <w:p w14:paraId="6F12AA3D">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3A19DA60">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CE93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79" w:type="pct"/>
            <w:vMerge w:val="continue"/>
            <w:shd w:val="clear" w:color="auto" w:fill="auto"/>
            <w:vAlign w:val="center"/>
          </w:tcPr>
          <w:p w14:paraId="57A0C642">
            <w:pPr>
              <w:jc w:val="center"/>
              <w:rPr>
                <w:rFonts w:ascii="宋体" w:hAnsi="宋体" w:eastAsia="宋体" w:cs="宋体"/>
                <w:sz w:val="24"/>
                <w:szCs w:val="28"/>
              </w:rPr>
            </w:pPr>
          </w:p>
        </w:tc>
        <w:tc>
          <w:tcPr>
            <w:tcW w:w="638" w:type="pct"/>
            <w:shd w:val="clear" w:color="auto" w:fill="auto"/>
            <w:vAlign w:val="center"/>
          </w:tcPr>
          <w:p w14:paraId="4DE2ACDD">
            <w:pPr>
              <w:widowControl/>
              <w:adjustRightInd w:val="0"/>
              <w:snapToGrid w:val="0"/>
              <w:spacing w:line="400" w:lineRule="exact"/>
              <w:jc w:val="center"/>
              <w:rPr>
                <w:rFonts w:ascii="宋体" w:hAnsi="宋体" w:eastAsia="宋体" w:cs="宋体"/>
                <w:color w:val="000000"/>
                <w:sz w:val="24"/>
                <w:szCs w:val="24"/>
              </w:rPr>
            </w:pPr>
            <w:r>
              <w:rPr>
                <w:rFonts w:hint="eastAsia" w:ascii="宋体" w:hAnsi="宋体" w:eastAsia="宋体" w:cs="宋体"/>
                <w:color w:val="000000"/>
                <w:sz w:val="24"/>
                <w:szCs w:val="24"/>
              </w:rPr>
              <w:t>电流换向器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评审指标133</w:t>
            </w:r>
            <w:r>
              <w:rPr>
                <w:rFonts w:hint="eastAsia" w:ascii="宋体" w:hAnsi="宋体" w:cs="宋体"/>
                <w:b/>
                <w:bCs/>
                <w:color w:val="auto"/>
                <w:sz w:val="24"/>
                <w:szCs w:val="24"/>
                <w:lang w:eastAsia="zh-CN"/>
              </w:rPr>
              <w:t>）</w:t>
            </w:r>
          </w:p>
        </w:tc>
        <w:tc>
          <w:tcPr>
            <w:tcW w:w="3008" w:type="pct"/>
            <w:shd w:val="clear" w:color="auto" w:fill="auto"/>
            <w:vAlign w:val="center"/>
          </w:tcPr>
          <w:p w14:paraId="0C0E80CA">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功能：正反向电流切换</w:t>
            </w:r>
          </w:p>
          <w:p w14:paraId="236F8B71">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切换电流能力：0</w:t>
            </w:r>
            <w:r>
              <w:rPr>
                <w:rFonts w:ascii="Arial" w:hAnsi="Arial" w:eastAsia="宋体" w:cs="Arial"/>
                <w:color w:val="auto"/>
                <w:sz w:val="24"/>
                <w:szCs w:val="24"/>
                <w:highlight w:val="none"/>
              </w:rPr>
              <w:t>~</w:t>
            </w:r>
            <w:r>
              <w:rPr>
                <w:rFonts w:hint="eastAsia" w:ascii="宋体" w:hAnsi="宋体" w:eastAsia="宋体" w:cs="宋体"/>
                <w:color w:val="auto"/>
                <w:sz w:val="24"/>
                <w:szCs w:val="24"/>
                <w:highlight w:val="none"/>
              </w:rPr>
              <w:t>1000 A；</w:t>
            </w:r>
          </w:p>
          <w:p w14:paraId="09454186">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标准  4U高设计。</w:t>
            </w:r>
          </w:p>
          <w:p w14:paraId="40EF727E">
            <w:pPr>
              <w:widowControl/>
              <w:adjustRightInd w:val="0"/>
              <w:snapToGrid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回显精度 (DC)：0.02%+0.004%FS。</w:t>
            </w:r>
          </w:p>
        </w:tc>
        <w:tc>
          <w:tcPr>
            <w:tcW w:w="470" w:type="pct"/>
            <w:shd w:val="clear" w:color="auto" w:fill="auto"/>
            <w:vAlign w:val="center"/>
          </w:tcPr>
          <w:p w14:paraId="3D082A2F">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7D4721D1">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4C883D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0A4EBC30">
            <w:pPr>
              <w:jc w:val="center"/>
              <w:rPr>
                <w:rFonts w:ascii="宋体" w:hAnsi="宋体" w:eastAsia="宋体" w:cs="宋体"/>
                <w:sz w:val="24"/>
                <w:szCs w:val="28"/>
              </w:rPr>
            </w:pPr>
            <w:r>
              <w:rPr>
                <w:rFonts w:hint="eastAsia" w:ascii="宋体" w:hAnsi="宋体" w:eastAsia="宋体" w:cs="宋体"/>
                <w:sz w:val="24"/>
                <w:szCs w:val="28"/>
              </w:rPr>
              <w:t>7</w:t>
            </w:r>
          </w:p>
        </w:tc>
        <w:tc>
          <w:tcPr>
            <w:tcW w:w="638" w:type="pct"/>
            <w:shd w:val="clear" w:color="auto" w:fill="auto"/>
            <w:vAlign w:val="center"/>
          </w:tcPr>
          <w:p w14:paraId="0996402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绝缘电阻模拟器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评审指标134</w:t>
            </w:r>
            <w:r>
              <w:rPr>
                <w:rFonts w:hint="eastAsia" w:ascii="宋体" w:hAnsi="宋体" w:cs="宋体"/>
                <w:b/>
                <w:bCs/>
                <w:color w:val="auto"/>
                <w:sz w:val="24"/>
                <w:szCs w:val="24"/>
                <w:lang w:eastAsia="zh-CN"/>
              </w:rPr>
              <w:t>）</w:t>
            </w:r>
          </w:p>
        </w:tc>
        <w:tc>
          <w:tcPr>
            <w:tcW w:w="3008" w:type="pct"/>
            <w:shd w:val="clear" w:color="auto" w:fill="auto"/>
            <w:vAlign w:val="center"/>
          </w:tcPr>
          <w:p w14:paraId="6426D86D">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功能：模拟正负极绝缘电阻，实现对储能BMS板绝缘采集精度测试。</w:t>
            </w:r>
          </w:p>
          <w:p w14:paraId="4149AE68">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w:t>
            </w:r>
          </w:p>
          <w:p w14:paraId="42B49955">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最高切换电压：</w:t>
            </w:r>
            <w:r>
              <w:rPr>
                <w:rFonts w:hint="eastAsia" w:ascii="宋体" w:hAnsi="宋体" w:eastAsia="宋体" w:cs="宋体"/>
                <w:color w:val="auto"/>
                <w:sz w:val="24"/>
                <w:szCs w:val="24"/>
                <w:highlight w:val="none"/>
              </w:rPr>
              <w:t>0</w:t>
            </w:r>
            <w:r>
              <w:rPr>
                <w:rFonts w:ascii="Arial" w:hAnsi="Arial" w:eastAsia="宋体" w:cs="Arial"/>
                <w:color w:val="auto"/>
                <w:sz w:val="24"/>
                <w:szCs w:val="24"/>
                <w:highlight w:val="none"/>
              </w:rPr>
              <w:t>~</w:t>
            </w:r>
            <w:r>
              <w:rPr>
                <w:rFonts w:hint="eastAsia" w:ascii="宋体" w:hAnsi="宋体" w:eastAsia="宋体" w:cs="宋体"/>
                <w:color w:val="auto"/>
                <w:kern w:val="0"/>
                <w:sz w:val="24"/>
                <w:szCs w:val="24"/>
                <w:highlight w:val="none"/>
              </w:rPr>
              <w:t>2000 V；</w:t>
            </w:r>
          </w:p>
          <w:p w14:paraId="256B2BA5">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电阻范围：50 Ω～61 MΩ，支持模拟开路（＞100 MΩ）</w:t>
            </w:r>
          </w:p>
          <w:p w14:paraId="1B7623A6">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分辨率：</w:t>
            </w:r>
            <w:r>
              <w:rPr>
                <w:rFonts w:ascii="宋体" w:hAnsi="宋体" w:eastAsia="宋体" w:cs="宋体"/>
                <w:color w:val="auto"/>
                <w:sz w:val="24"/>
                <w:szCs w:val="24"/>
                <w:highlight w:val="none"/>
              </w:rPr>
              <w:t>5</w:t>
            </w:r>
            <w:r>
              <w:rPr>
                <w:rFonts w:ascii="Arial" w:hAnsi="Arial" w:eastAsia="宋体" w:cs="Arial"/>
                <w:color w:val="auto"/>
                <w:sz w:val="24"/>
                <w:szCs w:val="24"/>
                <w:highlight w:val="none"/>
              </w:rPr>
              <w:t>~</w:t>
            </w:r>
            <w:r>
              <w:rPr>
                <w:rFonts w:ascii="宋体" w:hAnsi="宋体" w:eastAsia="宋体" w:cs="宋体"/>
                <w:color w:val="auto"/>
                <w:sz w:val="24"/>
                <w:szCs w:val="24"/>
                <w:highlight w:val="none"/>
              </w:rPr>
              <w:t>100Ω</w:t>
            </w:r>
            <w:r>
              <w:rPr>
                <w:rFonts w:hint="eastAsia" w:ascii="宋体" w:hAnsi="宋体" w:eastAsia="宋体" w:cs="宋体"/>
                <w:color w:val="auto"/>
                <w:kern w:val="0"/>
                <w:sz w:val="24"/>
                <w:szCs w:val="24"/>
                <w:highlight w:val="none"/>
              </w:rPr>
              <w:t>；</w:t>
            </w:r>
          </w:p>
          <w:p w14:paraId="16A5F2DD">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精度：</w:t>
            </w:r>
          </w:p>
          <w:p w14:paraId="1E424E74">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±1%+Rr，（≤11 MΩ），200 ppm；Rr＜30 Ω</w:t>
            </w:r>
          </w:p>
          <w:p w14:paraId="70C885FD">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±5%+Rr，（＞11 MΩ），</w:t>
            </w:r>
          </w:p>
          <w:p w14:paraId="57C9308C">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额定最大电流：＜30 mA</w:t>
            </w:r>
          </w:p>
          <w:p w14:paraId="5C584B97">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通讯接口：LAN/CAN</w:t>
            </w:r>
          </w:p>
        </w:tc>
        <w:tc>
          <w:tcPr>
            <w:tcW w:w="470" w:type="pct"/>
            <w:shd w:val="clear" w:color="auto" w:fill="auto"/>
            <w:vAlign w:val="center"/>
          </w:tcPr>
          <w:p w14:paraId="4258CCCD">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02" w:type="pct"/>
            <w:shd w:val="clear" w:color="auto" w:fill="auto"/>
            <w:vAlign w:val="center"/>
          </w:tcPr>
          <w:p w14:paraId="63B5B25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073763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21B5CFC9">
            <w:pPr>
              <w:jc w:val="center"/>
              <w:rPr>
                <w:rFonts w:ascii="宋体" w:hAnsi="宋体" w:eastAsia="宋体" w:cs="宋体"/>
                <w:sz w:val="24"/>
                <w:szCs w:val="28"/>
              </w:rPr>
            </w:pPr>
            <w:r>
              <w:rPr>
                <w:rFonts w:hint="eastAsia" w:ascii="宋体" w:hAnsi="宋体" w:eastAsia="宋体" w:cs="宋体"/>
                <w:sz w:val="24"/>
                <w:szCs w:val="28"/>
              </w:rPr>
              <w:t>8</w:t>
            </w:r>
          </w:p>
        </w:tc>
        <w:tc>
          <w:tcPr>
            <w:tcW w:w="638" w:type="pct"/>
            <w:shd w:val="clear" w:color="auto" w:fill="auto"/>
            <w:vAlign w:val="center"/>
          </w:tcPr>
          <w:p w14:paraId="56F10E1C">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模拟量输出卡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评审指标135</w:t>
            </w:r>
            <w:r>
              <w:rPr>
                <w:rFonts w:hint="eastAsia" w:ascii="宋体" w:hAnsi="宋体" w:cs="宋体"/>
                <w:b/>
                <w:bCs/>
                <w:color w:val="auto"/>
                <w:sz w:val="24"/>
                <w:szCs w:val="24"/>
                <w:lang w:eastAsia="zh-CN"/>
              </w:rPr>
              <w:t>）</w:t>
            </w:r>
          </w:p>
        </w:tc>
        <w:tc>
          <w:tcPr>
            <w:tcW w:w="3008" w:type="pct"/>
            <w:shd w:val="clear" w:color="auto" w:fill="auto"/>
            <w:vAlign w:val="center"/>
          </w:tcPr>
          <w:p w14:paraId="78B73BEF">
            <w:pPr>
              <w:autoSpaceDE w:val="0"/>
              <w:autoSpaceDN w:val="0"/>
              <w:spacing w:line="400" w:lineRule="exact"/>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功能：用于模拟霍尔传感器、分流器二次信号输出</w:t>
            </w:r>
          </w:p>
          <w:p w14:paraId="28833204">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w:t>
            </w:r>
          </w:p>
          <w:p w14:paraId="4C229666">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模拟输出范围：±5 V、±200 mV</w:t>
            </w:r>
          </w:p>
          <w:p w14:paraId="65F0A3D0">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4通道模拟输出，通道间隔离</w:t>
            </w:r>
          </w:p>
          <w:p w14:paraId="5BC95DD1">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输出分辨率：14</w:t>
            </w:r>
            <w:r>
              <w:rPr>
                <w:rFonts w:ascii="Arial" w:hAnsi="Arial" w:eastAsia="宋体" w:cs="Arial"/>
                <w:color w:val="auto"/>
                <w:kern w:val="0"/>
                <w:sz w:val="24"/>
                <w:szCs w:val="24"/>
                <w:highlight w:val="none"/>
              </w:rPr>
              <w:t>~</w:t>
            </w:r>
            <w:r>
              <w:rPr>
                <w:rFonts w:hint="eastAsia" w:ascii="宋体" w:hAnsi="宋体" w:eastAsia="宋体" w:cs="宋体"/>
                <w:color w:val="auto"/>
                <w:kern w:val="0"/>
                <w:sz w:val="24"/>
                <w:szCs w:val="24"/>
                <w:highlight w:val="none"/>
              </w:rPr>
              <w:t>16位</w:t>
            </w:r>
          </w:p>
          <w:p w14:paraId="57211369">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电压精度高达0.03%+0.02%F.S.</w:t>
            </w:r>
          </w:p>
          <w:p w14:paraId="2AF27FFB">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电流精度：0.05%+0.05%F.S.</w:t>
            </w:r>
          </w:p>
          <w:p w14:paraId="34249C0C">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支持各通道独立配置电压/电流</w:t>
            </w:r>
          </w:p>
        </w:tc>
        <w:tc>
          <w:tcPr>
            <w:tcW w:w="470" w:type="pct"/>
            <w:shd w:val="clear" w:color="auto" w:fill="auto"/>
            <w:vAlign w:val="center"/>
          </w:tcPr>
          <w:p w14:paraId="7B83465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762F14A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53A68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72E52EA2">
            <w:pPr>
              <w:jc w:val="center"/>
              <w:rPr>
                <w:rFonts w:ascii="宋体" w:hAnsi="宋体" w:eastAsia="宋体" w:cs="宋体"/>
                <w:sz w:val="24"/>
                <w:szCs w:val="28"/>
              </w:rPr>
            </w:pPr>
            <w:r>
              <w:rPr>
                <w:rFonts w:hint="eastAsia" w:ascii="宋体" w:hAnsi="宋体" w:eastAsia="宋体" w:cs="宋体"/>
                <w:sz w:val="24"/>
                <w:szCs w:val="28"/>
              </w:rPr>
              <w:t>9</w:t>
            </w:r>
          </w:p>
        </w:tc>
        <w:tc>
          <w:tcPr>
            <w:tcW w:w="638" w:type="pct"/>
            <w:shd w:val="clear" w:color="auto" w:fill="auto"/>
            <w:vAlign w:val="center"/>
          </w:tcPr>
          <w:p w14:paraId="5D3AE2E7">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CAN通讯转换卡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评审指标136</w:t>
            </w:r>
            <w:r>
              <w:rPr>
                <w:rFonts w:hint="eastAsia" w:ascii="宋体" w:hAnsi="宋体" w:cs="宋体"/>
                <w:b/>
                <w:bCs/>
                <w:color w:val="auto"/>
                <w:sz w:val="24"/>
                <w:szCs w:val="24"/>
                <w:lang w:eastAsia="zh-CN"/>
              </w:rPr>
              <w:t>）</w:t>
            </w:r>
          </w:p>
        </w:tc>
        <w:tc>
          <w:tcPr>
            <w:tcW w:w="3008" w:type="pct"/>
            <w:shd w:val="clear" w:color="auto" w:fill="auto"/>
            <w:vAlign w:val="center"/>
          </w:tcPr>
          <w:p w14:paraId="371FA10B">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功能：BMS总控与系统通信。</w:t>
            </w:r>
          </w:p>
          <w:p w14:paraId="5371F6C4">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561499E3">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单卡2通道CAN，通道间隔离</w:t>
            </w:r>
          </w:p>
          <w:p w14:paraId="6F608DC0">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CAN波特率任意可设</w:t>
            </w:r>
          </w:p>
          <w:p w14:paraId="662AFB5B">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范围：5 kbps～1 Mbps</w:t>
            </w:r>
          </w:p>
          <w:p w14:paraId="19F9AE99">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支持CAN 2.0B规范，兼容CAN 2.0A</w:t>
            </w:r>
          </w:p>
        </w:tc>
        <w:tc>
          <w:tcPr>
            <w:tcW w:w="470" w:type="pct"/>
            <w:shd w:val="clear" w:color="auto" w:fill="auto"/>
            <w:vAlign w:val="center"/>
          </w:tcPr>
          <w:p w14:paraId="1AABE393">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4F463686">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56566E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37B178C2">
            <w:pPr>
              <w:jc w:val="center"/>
              <w:rPr>
                <w:rFonts w:ascii="宋体" w:hAnsi="宋体" w:eastAsia="宋体" w:cs="宋体"/>
                <w:sz w:val="24"/>
                <w:szCs w:val="28"/>
              </w:rPr>
            </w:pPr>
            <w:r>
              <w:rPr>
                <w:rFonts w:hint="eastAsia" w:ascii="宋体" w:hAnsi="宋体" w:eastAsia="宋体" w:cs="宋体"/>
                <w:sz w:val="24"/>
                <w:szCs w:val="28"/>
              </w:rPr>
              <w:t>10</w:t>
            </w:r>
          </w:p>
        </w:tc>
        <w:tc>
          <w:tcPr>
            <w:tcW w:w="638" w:type="pct"/>
            <w:shd w:val="clear" w:color="auto" w:fill="auto"/>
            <w:vAlign w:val="center"/>
          </w:tcPr>
          <w:p w14:paraId="2E72699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可编程直流电源卡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评审指标137</w:t>
            </w:r>
            <w:r>
              <w:rPr>
                <w:rFonts w:hint="eastAsia" w:ascii="宋体" w:hAnsi="宋体" w:cs="宋体"/>
                <w:b/>
                <w:bCs/>
                <w:color w:val="auto"/>
                <w:sz w:val="24"/>
                <w:szCs w:val="24"/>
                <w:lang w:eastAsia="zh-CN"/>
              </w:rPr>
              <w:t>）</w:t>
            </w:r>
          </w:p>
        </w:tc>
        <w:tc>
          <w:tcPr>
            <w:tcW w:w="3008" w:type="pct"/>
            <w:shd w:val="clear" w:color="auto" w:fill="auto"/>
            <w:vAlign w:val="center"/>
          </w:tcPr>
          <w:p w14:paraId="7648B744">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功能：AO模拟量驱动输出</w:t>
            </w:r>
          </w:p>
          <w:p w14:paraId="5EAB9281">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772040CB">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功率范围：0～60 W</w:t>
            </w:r>
          </w:p>
          <w:p w14:paraId="2B629519">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模拟量输出电压：30 V</w:t>
            </w:r>
          </w:p>
          <w:p w14:paraId="7FFEA28A">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模拟量输出电流：2 A</w:t>
            </w:r>
          </w:p>
          <w:p w14:paraId="66AE8CC1">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支持恒电压(CV)、恒电流(CC)模式</w:t>
            </w:r>
          </w:p>
          <w:p w14:paraId="515AB56F">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CC&amp;CV优先权选择功能</w:t>
            </w:r>
          </w:p>
          <w:p w14:paraId="1FEF3DB1">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支持OVP、OCP、OPP、OTP保护</w:t>
            </w:r>
          </w:p>
        </w:tc>
        <w:tc>
          <w:tcPr>
            <w:tcW w:w="470" w:type="pct"/>
            <w:shd w:val="clear" w:color="auto" w:fill="auto"/>
            <w:vAlign w:val="center"/>
          </w:tcPr>
          <w:p w14:paraId="381E6506">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01167A17">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72C53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4CE70792">
            <w:pPr>
              <w:jc w:val="center"/>
              <w:rPr>
                <w:rFonts w:ascii="宋体" w:hAnsi="宋体" w:eastAsia="宋体" w:cs="宋体"/>
                <w:sz w:val="24"/>
                <w:szCs w:val="28"/>
              </w:rPr>
            </w:pPr>
            <w:r>
              <w:rPr>
                <w:rFonts w:hint="eastAsia" w:ascii="宋体" w:hAnsi="宋体" w:eastAsia="宋体" w:cs="宋体"/>
                <w:sz w:val="24"/>
                <w:szCs w:val="28"/>
              </w:rPr>
              <w:t>11</w:t>
            </w:r>
          </w:p>
        </w:tc>
        <w:tc>
          <w:tcPr>
            <w:tcW w:w="638" w:type="pct"/>
            <w:shd w:val="clear" w:color="auto" w:fill="auto"/>
            <w:vAlign w:val="center"/>
          </w:tcPr>
          <w:p w14:paraId="561A4CB2">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多通道直流电压测量卡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评审指标138</w:t>
            </w:r>
            <w:r>
              <w:rPr>
                <w:rFonts w:hint="eastAsia" w:ascii="宋体" w:hAnsi="宋体" w:cs="宋体"/>
                <w:b/>
                <w:bCs/>
                <w:color w:val="auto"/>
                <w:sz w:val="24"/>
                <w:szCs w:val="24"/>
                <w:lang w:eastAsia="zh-CN"/>
              </w:rPr>
              <w:t>）</w:t>
            </w:r>
          </w:p>
        </w:tc>
        <w:tc>
          <w:tcPr>
            <w:tcW w:w="3008" w:type="pct"/>
            <w:shd w:val="clear" w:color="auto" w:fill="auto"/>
            <w:vAlign w:val="center"/>
          </w:tcPr>
          <w:p w14:paraId="49FD2EA4">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功能：AI模拟量输入</w:t>
            </w:r>
          </w:p>
          <w:p w14:paraId="10F32B96">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5BDBE372">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单卡支持4通道电压同步测量</w:t>
            </w:r>
          </w:p>
          <w:p w14:paraId="1DB170F8">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DCV基本精度：0.025%+0.025%F.S.</w:t>
            </w:r>
          </w:p>
          <w:p w14:paraId="3B47AACB">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DC量程 -60 V～+60 V；-600 V～+600 V</w:t>
            </w:r>
          </w:p>
        </w:tc>
        <w:tc>
          <w:tcPr>
            <w:tcW w:w="470" w:type="pct"/>
            <w:shd w:val="clear" w:color="auto" w:fill="auto"/>
            <w:vAlign w:val="center"/>
          </w:tcPr>
          <w:p w14:paraId="476FF946">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2DBACFDE">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34D8E0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13FCBACE">
            <w:pPr>
              <w:jc w:val="center"/>
              <w:rPr>
                <w:rFonts w:ascii="宋体" w:hAnsi="宋体" w:eastAsia="宋体" w:cs="宋体"/>
                <w:sz w:val="24"/>
                <w:szCs w:val="28"/>
              </w:rPr>
            </w:pPr>
            <w:r>
              <w:rPr>
                <w:rFonts w:hint="eastAsia" w:ascii="宋体" w:hAnsi="宋体" w:eastAsia="宋体" w:cs="宋体"/>
                <w:sz w:val="24"/>
                <w:szCs w:val="28"/>
              </w:rPr>
              <w:t>12</w:t>
            </w:r>
          </w:p>
        </w:tc>
        <w:tc>
          <w:tcPr>
            <w:tcW w:w="638" w:type="pct"/>
            <w:shd w:val="clear" w:color="auto" w:fill="auto"/>
            <w:vAlign w:val="center"/>
          </w:tcPr>
          <w:p w14:paraId="61972AC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可编程多通道高压IO卡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评审指标139</w:t>
            </w:r>
            <w:r>
              <w:rPr>
                <w:rFonts w:hint="eastAsia" w:ascii="宋体" w:hAnsi="宋体" w:cs="宋体"/>
                <w:b/>
                <w:bCs/>
                <w:color w:val="auto"/>
                <w:sz w:val="24"/>
                <w:szCs w:val="24"/>
                <w:lang w:eastAsia="zh-CN"/>
              </w:rPr>
              <w:t>）</w:t>
            </w:r>
          </w:p>
        </w:tc>
        <w:tc>
          <w:tcPr>
            <w:tcW w:w="3008" w:type="pct"/>
            <w:shd w:val="clear" w:color="auto" w:fill="auto"/>
            <w:vAlign w:val="center"/>
          </w:tcPr>
          <w:p w14:paraId="7F50179C">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功能：高压IO输入输出</w:t>
            </w:r>
          </w:p>
          <w:p w14:paraId="3EA6B249">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1C1262AE">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电平电压电压：3.3 V～40 V</w:t>
            </w:r>
          </w:p>
          <w:p w14:paraId="08605D9E">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频率范围：1 Hz～100 kHz</w:t>
            </w:r>
          </w:p>
          <w:p w14:paraId="73F436E9">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8通道PWM输入测量，8通道PWM输出驱动</w:t>
            </w:r>
          </w:p>
          <w:p w14:paraId="7AEB718A">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输出电压：默认24 V（内部电源），可外接3.3 V～32 V电源来做输出电压</w:t>
            </w:r>
          </w:p>
        </w:tc>
        <w:tc>
          <w:tcPr>
            <w:tcW w:w="470" w:type="pct"/>
            <w:shd w:val="clear" w:color="auto" w:fill="auto"/>
            <w:vAlign w:val="center"/>
          </w:tcPr>
          <w:p w14:paraId="356FC6BA">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1C279055">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117C0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7F2F1CFD">
            <w:pPr>
              <w:jc w:val="center"/>
              <w:rPr>
                <w:rFonts w:ascii="宋体" w:hAnsi="宋体" w:eastAsia="宋体" w:cs="宋体"/>
                <w:sz w:val="24"/>
                <w:szCs w:val="28"/>
              </w:rPr>
            </w:pPr>
            <w:r>
              <w:rPr>
                <w:rFonts w:hint="eastAsia" w:ascii="宋体" w:hAnsi="宋体" w:eastAsia="宋体" w:cs="宋体"/>
                <w:sz w:val="24"/>
                <w:szCs w:val="28"/>
              </w:rPr>
              <w:t>13</w:t>
            </w:r>
          </w:p>
        </w:tc>
        <w:tc>
          <w:tcPr>
            <w:tcW w:w="638" w:type="pct"/>
            <w:shd w:val="clear" w:color="auto" w:fill="auto"/>
            <w:vAlign w:val="center"/>
          </w:tcPr>
          <w:p w14:paraId="4D780A33">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高速数字IO卡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评审指标140</w:t>
            </w:r>
            <w:r>
              <w:rPr>
                <w:rFonts w:hint="eastAsia" w:ascii="宋体" w:hAnsi="宋体" w:cs="宋体"/>
                <w:b/>
                <w:bCs/>
                <w:color w:val="auto"/>
                <w:sz w:val="24"/>
                <w:szCs w:val="24"/>
                <w:lang w:eastAsia="zh-CN"/>
              </w:rPr>
              <w:t>）</w:t>
            </w:r>
          </w:p>
        </w:tc>
        <w:tc>
          <w:tcPr>
            <w:tcW w:w="3008" w:type="pct"/>
            <w:shd w:val="clear" w:color="auto" w:fill="auto"/>
            <w:vAlign w:val="center"/>
          </w:tcPr>
          <w:p w14:paraId="112C1CC6">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功能：DI/DO数字量输入/输出</w:t>
            </w:r>
          </w:p>
          <w:p w14:paraId="64588E07">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344D81ED">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电压：3.3 V/5 V</w:t>
            </w:r>
          </w:p>
          <w:p w14:paraId="1C7E43B5">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单卡32通道数字量输入输出</w:t>
            </w:r>
          </w:p>
          <w:p w14:paraId="32F82BBB">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24通道输入输出方向可任意配置</w:t>
            </w:r>
          </w:p>
          <w:p w14:paraId="75B26884">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4路PWM输出</w:t>
            </w:r>
          </w:p>
          <w:p w14:paraId="58608A03">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通道同步输入输出，同步时间误差1.25 ns</w:t>
            </w:r>
          </w:p>
        </w:tc>
        <w:tc>
          <w:tcPr>
            <w:tcW w:w="470" w:type="pct"/>
            <w:shd w:val="clear" w:color="auto" w:fill="auto"/>
            <w:vAlign w:val="center"/>
          </w:tcPr>
          <w:p w14:paraId="0A9B6AE3">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0760391F">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74B08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5DF16B4C">
            <w:pPr>
              <w:jc w:val="center"/>
              <w:rPr>
                <w:rFonts w:ascii="宋体" w:hAnsi="宋体" w:eastAsia="宋体" w:cs="宋体"/>
                <w:sz w:val="24"/>
                <w:szCs w:val="28"/>
              </w:rPr>
            </w:pPr>
            <w:r>
              <w:rPr>
                <w:rFonts w:hint="eastAsia" w:ascii="宋体" w:hAnsi="宋体" w:eastAsia="宋体" w:cs="宋体"/>
                <w:sz w:val="24"/>
                <w:szCs w:val="28"/>
              </w:rPr>
              <w:t>14</w:t>
            </w:r>
          </w:p>
        </w:tc>
        <w:tc>
          <w:tcPr>
            <w:tcW w:w="638" w:type="pct"/>
            <w:vMerge w:val="restart"/>
            <w:shd w:val="clear" w:color="auto" w:fill="auto"/>
            <w:vAlign w:val="center"/>
          </w:tcPr>
          <w:p w14:paraId="11AE3314">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继电器卡</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评审指标141</w:t>
            </w:r>
            <w:r>
              <w:rPr>
                <w:rFonts w:hint="eastAsia" w:ascii="宋体" w:hAnsi="宋体" w:cs="宋体"/>
                <w:b/>
                <w:bCs/>
                <w:color w:val="auto"/>
                <w:sz w:val="24"/>
                <w:szCs w:val="24"/>
                <w:lang w:eastAsia="zh-CN"/>
              </w:rPr>
              <w:t>）</w:t>
            </w:r>
          </w:p>
        </w:tc>
        <w:tc>
          <w:tcPr>
            <w:tcW w:w="3008" w:type="pct"/>
            <w:shd w:val="clear" w:color="auto" w:fill="auto"/>
            <w:vAlign w:val="center"/>
          </w:tcPr>
          <w:p w14:paraId="62EA5264">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b/>
                <w:bCs/>
                <w:kern w:val="0"/>
                <w:sz w:val="24"/>
                <w:szCs w:val="24"/>
              </w:rPr>
              <w:t>功能：可用于CAN通讯短路和模拟温度采集线短路断路等测试</w:t>
            </w:r>
          </w:p>
          <w:p w14:paraId="5267B525">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技术参数：</w:t>
            </w:r>
          </w:p>
          <w:p w14:paraId="6F9D3F14">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单卡24通道，支持SPST（单刀单掷）</w:t>
            </w:r>
          </w:p>
          <w:p w14:paraId="7E89DF05">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开关负荷：0.5 A/120 VAC、1 A/24 VDC</w:t>
            </w:r>
          </w:p>
          <w:p w14:paraId="0A3DAD4B">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占用4HP空间，NXI-F1080可以装16个4HP卡</w:t>
            </w:r>
          </w:p>
        </w:tc>
        <w:tc>
          <w:tcPr>
            <w:tcW w:w="470" w:type="pct"/>
            <w:shd w:val="clear" w:color="auto" w:fill="auto"/>
            <w:vAlign w:val="center"/>
          </w:tcPr>
          <w:p w14:paraId="7B2DCE10">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2747486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43857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326FDFFA">
            <w:pPr>
              <w:jc w:val="center"/>
              <w:rPr>
                <w:rFonts w:ascii="宋体" w:hAnsi="宋体" w:eastAsia="宋体" w:cs="宋体"/>
                <w:sz w:val="24"/>
                <w:szCs w:val="28"/>
              </w:rPr>
            </w:pPr>
            <w:r>
              <w:rPr>
                <w:rFonts w:hint="eastAsia" w:ascii="宋体" w:hAnsi="宋体" w:eastAsia="宋体" w:cs="宋体"/>
                <w:sz w:val="24"/>
                <w:szCs w:val="28"/>
              </w:rPr>
              <w:t>15</w:t>
            </w:r>
          </w:p>
        </w:tc>
        <w:tc>
          <w:tcPr>
            <w:tcW w:w="638" w:type="pct"/>
            <w:vMerge w:val="continue"/>
            <w:shd w:val="clear" w:color="auto" w:fill="auto"/>
            <w:vAlign w:val="center"/>
          </w:tcPr>
          <w:p w14:paraId="08F0394A">
            <w:pPr>
              <w:widowControl/>
              <w:adjustRightInd w:val="0"/>
              <w:snapToGrid w:val="0"/>
              <w:spacing w:line="400" w:lineRule="exact"/>
              <w:jc w:val="center"/>
              <w:rPr>
                <w:rFonts w:ascii="宋体" w:hAnsi="宋体" w:eastAsia="宋体" w:cs="宋体"/>
                <w:color w:val="000000"/>
                <w:sz w:val="24"/>
                <w:szCs w:val="24"/>
              </w:rPr>
            </w:pPr>
          </w:p>
        </w:tc>
        <w:tc>
          <w:tcPr>
            <w:tcW w:w="3008" w:type="pct"/>
            <w:shd w:val="clear" w:color="auto" w:fill="auto"/>
            <w:vAlign w:val="center"/>
          </w:tcPr>
          <w:p w14:paraId="02D27998">
            <w:pPr>
              <w:autoSpaceDE w:val="0"/>
              <w:autoSpaceDN w:val="0"/>
              <w:spacing w:line="400" w:lineRule="exact"/>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功能：可用于BMS供电反压、控制回路异常等测试；</w:t>
            </w:r>
          </w:p>
          <w:p w14:paraId="5F8F680D">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技术参数：</w:t>
            </w:r>
          </w:p>
          <w:p w14:paraId="1B979E88">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单卡8通道，支持SPST（单刀单掷）</w:t>
            </w:r>
          </w:p>
          <w:p w14:paraId="22A98FCA">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开关负荷：8 A/250 VAC、5 A/30 VDC</w:t>
            </w:r>
          </w:p>
          <w:p w14:paraId="5DFDFDB1">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动作时间：</w:t>
            </w:r>
            <w:r>
              <w:rPr>
                <w:rFonts w:ascii="宋体" w:hAnsi="宋体" w:eastAsia="宋体" w:cs="宋体"/>
                <w:color w:val="auto"/>
                <w:kern w:val="0"/>
                <w:sz w:val="24"/>
                <w:szCs w:val="24"/>
                <w:highlight w:val="none"/>
              </w:rPr>
              <w:t>10ms~100ms</w:t>
            </w:r>
          </w:p>
          <w:p w14:paraId="73FA49D0">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介电强度：线圈-触点4000 VAC以内</w:t>
            </w:r>
          </w:p>
          <w:p w14:paraId="63EE9A96">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接触电阻：</w:t>
            </w:r>
            <w:r>
              <w:rPr>
                <w:rFonts w:ascii="宋体" w:hAnsi="宋体" w:eastAsia="宋体" w:cs="宋体"/>
                <w:color w:val="auto"/>
                <w:kern w:val="0"/>
                <w:sz w:val="24"/>
                <w:szCs w:val="24"/>
                <w:highlight w:val="none"/>
              </w:rPr>
              <w:t>≤150mΩ</w:t>
            </w:r>
          </w:p>
        </w:tc>
        <w:tc>
          <w:tcPr>
            <w:tcW w:w="470" w:type="pct"/>
            <w:shd w:val="clear" w:color="auto" w:fill="auto"/>
            <w:vAlign w:val="center"/>
          </w:tcPr>
          <w:p w14:paraId="53AD473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39927B00">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块</w:t>
            </w:r>
          </w:p>
        </w:tc>
      </w:tr>
      <w:tr w14:paraId="5CF39A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7324C5B1">
            <w:pPr>
              <w:jc w:val="center"/>
              <w:rPr>
                <w:rFonts w:ascii="宋体" w:hAnsi="宋体" w:eastAsia="宋体" w:cs="宋体"/>
                <w:sz w:val="24"/>
                <w:szCs w:val="28"/>
              </w:rPr>
            </w:pPr>
            <w:r>
              <w:rPr>
                <w:rFonts w:hint="eastAsia" w:ascii="宋体" w:hAnsi="宋体" w:eastAsia="宋体" w:cs="宋体"/>
                <w:sz w:val="24"/>
                <w:szCs w:val="28"/>
              </w:rPr>
              <w:t>16</w:t>
            </w:r>
          </w:p>
        </w:tc>
        <w:tc>
          <w:tcPr>
            <w:tcW w:w="638" w:type="pct"/>
            <w:shd w:val="clear" w:color="auto" w:fill="auto"/>
            <w:vAlign w:val="center"/>
          </w:tcPr>
          <w:p w14:paraId="64C10585">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测控机箱</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评审指标142</w:t>
            </w:r>
            <w:r>
              <w:rPr>
                <w:rFonts w:hint="eastAsia" w:ascii="宋体" w:hAnsi="宋体" w:cs="宋体"/>
                <w:b/>
                <w:bCs/>
                <w:color w:val="auto"/>
                <w:sz w:val="24"/>
                <w:szCs w:val="24"/>
                <w:lang w:eastAsia="zh-CN"/>
              </w:rPr>
              <w:t>）</w:t>
            </w:r>
          </w:p>
        </w:tc>
        <w:tc>
          <w:tcPr>
            <w:tcW w:w="3008" w:type="pct"/>
            <w:shd w:val="clear" w:color="auto" w:fill="auto"/>
            <w:vAlign w:val="center"/>
          </w:tcPr>
          <w:p w14:paraId="5BFDA0A6">
            <w:pPr>
              <w:autoSpaceDE w:val="0"/>
              <w:autoSpaceDN w:val="0"/>
              <w:spacing w:line="400" w:lineRule="exact"/>
              <w:jc w:val="lef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功能：为所有板卡提供电源与通讯控制。</w:t>
            </w:r>
          </w:p>
          <w:p w14:paraId="2C08D846">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特点：</w:t>
            </w:r>
          </w:p>
          <w:p w14:paraId="6A5DB258">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支持1主控卡+16功能卡</w:t>
            </w:r>
          </w:p>
          <w:p w14:paraId="278FCDA9">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标准4U机箱里有17个4HP宽度卡槽</w:t>
            </w:r>
          </w:p>
          <w:p w14:paraId="52D19141">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LAN接口，高吞吐速率</w:t>
            </w:r>
          </w:p>
          <w:p w14:paraId="4CBE41AE">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不小于1000W带载功率，无需外置电源</w:t>
            </w:r>
          </w:p>
        </w:tc>
        <w:tc>
          <w:tcPr>
            <w:tcW w:w="470" w:type="pct"/>
            <w:shd w:val="clear" w:color="auto" w:fill="auto"/>
            <w:vAlign w:val="center"/>
          </w:tcPr>
          <w:p w14:paraId="39EA8C99">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02" w:type="pct"/>
            <w:shd w:val="clear" w:color="auto" w:fill="auto"/>
            <w:vAlign w:val="center"/>
          </w:tcPr>
          <w:p w14:paraId="7620A1FF">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台</w:t>
            </w:r>
          </w:p>
        </w:tc>
      </w:tr>
      <w:tr w14:paraId="554856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0875BCD4">
            <w:pPr>
              <w:jc w:val="center"/>
              <w:rPr>
                <w:rFonts w:ascii="宋体" w:hAnsi="宋体" w:eastAsia="宋体" w:cs="宋体"/>
                <w:sz w:val="24"/>
                <w:szCs w:val="28"/>
              </w:rPr>
            </w:pPr>
            <w:r>
              <w:rPr>
                <w:rFonts w:hint="eastAsia" w:ascii="宋体" w:hAnsi="宋体" w:eastAsia="宋体" w:cs="宋体"/>
                <w:sz w:val="24"/>
                <w:szCs w:val="28"/>
              </w:rPr>
              <w:t>17</w:t>
            </w:r>
          </w:p>
        </w:tc>
        <w:tc>
          <w:tcPr>
            <w:tcW w:w="638" w:type="pct"/>
            <w:shd w:val="clear" w:color="auto" w:fill="auto"/>
            <w:vAlign w:val="center"/>
          </w:tcPr>
          <w:p w14:paraId="27D9B8BB">
            <w:pPr>
              <w:widowControl/>
              <w:adjustRightInd w:val="0"/>
              <w:snapToGrid w:val="0"/>
              <w:spacing w:line="400" w:lineRule="exact"/>
              <w:jc w:val="center"/>
              <w:rPr>
                <w:rFonts w:ascii="宋体" w:hAnsi="宋体" w:eastAsia="宋体" w:cs="宋体"/>
                <w:sz w:val="24"/>
                <w:szCs w:val="24"/>
              </w:rPr>
            </w:pPr>
            <w:r>
              <w:rPr>
                <w:rFonts w:hint="eastAsia" w:ascii="宋体" w:hAnsi="宋体" w:eastAsia="宋体" w:cs="宋体"/>
                <w:color w:val="000000"/>
                <w:kern w:val="0"/>
                <w:sz w:val="24"/>
                <w:szCs w:val="24"/>
              </w:rPr>
              <w:t>32U机柜</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评审指标143</w:t>
            </w:r>
            <w:r>
              <w:rPr>
                <w:rFonts w:hint="eastAsia" w:ascii="宋体" w:hAnsi="宋体" w:cs="宋体"/>
                <w:b/>
                <w:bCs/>
                <w:color w:val="auto"/>
                <w:sz w:val="24"/>
                <w:szCs w:val="24"/>
                <w:lang w:eastAsia="zh-CN"/>
              </w:rPr>
              <w:t>）</w:t>
            </w:r>
          </w:p>
        </w:tc>
        <w:tc>
          <w:tcPr>
            <w:tcW w:w="3008" w:type="pct"/>
            <w:shd w:val="clear" w:color="auto" w:fill="auto"/>
            <w:vAlign w:val="center"/>
          </w:tcPr>
          <w:p w14:paraId="66909BBF">
            <w:pPr>
              <w:autoSpaceDE w:val="0"/>
              <w:autoSpaceDN w:val="0"/>
              <w:spacing w:line="400" w:lineRule="exact"/>
              <w:jc w:val="left"/>
              <w:rPr>
                <w:rFonts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机柜高度</w:t>
            </w:r>
            <w:r>
              <w:rPr>
                <w:rFonts w:hint="eastAsia" w:ascii="等线" w:hAnsi="等线" w:eastAsia="等线" w:cs="宋体"/>
                <w:color w:val="auto"/>
                <w:sz w:val="24"/>
                <w:szCs w:val="24"/>
                <w:highlight w:val="none"/>
              </w:rPr>
              <w:t>≤</w:t>
            </w:r>
            <w:r>
              <w:rPr>
                <w:rFonts w:hint="eastAsia" w:ascii="宋体" w:hAnsi="宋体" w:eastAsia="宋体" w:cs="宋体"/>
                <w:color w:val="auto"/>
                <w:sz w:val="24"/>
                <w:szCs w:val="24"/>
                <w:highlight w:val="none"/>
              </w:rPr>
              <w:t>1900mm</w:t>
            </w:r>
          </w:p>
        </w:tc>
        <w:tc>
          <w:tcPr>
            <w:tcW w:w="470" w:type="pct"/>
            <w:shd w:val="clear" w:color="auto" w:fill="auto"/>
            <w:vAlign w:val="center"/>
          </w:tcPr>
          <w:p w14:paraId="54B3E8F8">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402" w:type="pct"/>
            <w:shd w:val="clear" w:color="auto" w:fill="auto"/>
            <w:vAlign w:val="center"/>
          </w:tcPr>
          <w:p w14:paraId="14FD523B">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24FD8B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53305D57">
            <w:pPr>
              <w:jc w:val="center"/>
              <w:rPr>
                <w:rFonts w:ascii="宋体" w:hAnsi="宋体" w:eastAsia="宋体" w:cs="宋体"/>
                <w:sz w:val="24"/>
                <w:szCs w:val="28"/>
              </w:rPr>
            </w:pPr>
            <w:r>
              <w:rPr>
                <w:rFonts w:hint="eastAsia" w:ascii="宋体" w:hAnsi="宋体" w:eastAsia="宋体" w:cs="宋体"/>
                <w:sz w:val="24"/>
                <w:szCs w:val="28"/>
              </w:rPr>
              <w:t>18</w:t>
            </w:r>
          </w:p>
        </w:tc>
        <w:tc>
          <w:tcPr>
            <w:tcW w:w="638" w:type="pct"/>
            <w:shd w:val="clear" w:color="auto" w:fill="auto"/>
            <w:vAlign w:val="center"/>
          </w:tcPr>
          <w:p w14:paraId="0179C04E">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工控机</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评审指标144</w:t>
            </w:r>
            <w:r>
              <w:rPr>
                <w:rFonts w:hint="eastAsia" w:ascii="宋体" w:hAnsi="宋体" w:cs="宋体"/>
                <w:b/>
                <w:bCs/>
                <w:color w:val="auto"/>
                <w:sz w:val="24"/>
                <w:szCs w:val="24"/>
                <w:lang w:eastAsia="zh-CN"/>
              </w:rPr>
              <w:t>）</w:t>
            </w:r>
          </w:p>
        </w:tc>
        <w:tc>
          <w:tcPr>
            <w:tcW w:w="3008" w:type="pct"/>
            <w:shd w:val="clear" w:color="auto" w:fill="auto"/>
            <w:vAlign w:val="center"/>
          </w:tcPr>
          <w:p w14:paraId="36D320D1">
            <w:pPr>
              <w:widowControl/>
              <w:adjustRightInd w:val="0"/>
              <w:snapToGri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功能：配合仪器进行通讯并控制设备输出及保存数据等工作</w:t>
            </w:r>
          </w:p>
          <w:p w14:paraId="5C9EB968">
            <w:pPr>
              <w:widowControl/>
              <w:adjustRightInd w:val="0"/>
              <w:snapToGri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参数：</w:t>
            </w:r>
          </w:p>
          <w:p w14:paraId="503BBB06">
            <w:pPr>
              <w:widowControl/>
              <w:adjustRightInd w:val="0"/>
              <w:snapToGri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工业电脑</w:t>
            </w:r>
          </w:p>
          <w:p w14:paraId="1E82B2C4">
            <w:pPr>
              <w:widowControl/>
              <w:adjustRightInd w:val="0"/>
              <w:snapToGrid w:val="0"/>
              <w:spacing w:line="400" w:lineRule="exact"/>
              <w:jc w:val="left"/>
              <w:rPr>
                <w:rFonts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不低于I5处理器、内存不小于8G、硬盘不小于1T</w:t>
            </w:r>
          </w:p>
          <w:p w14:paraId="1710DE06">
            <w:pPr>
              <w:widowControl/>
              <w:adjustRightInd w:val="0"/>
              <w:snapToGrid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双网口、6串口、不带声卡</w:t>
            </w:r>
          </w:p>
          <w:p w14:paraId="297D38D6">
            <w:pPr>
              <w:widowControl/>
              <w:adjustRightInd w:val="0"/>
              <w:snapToGrid w:val="0"/>
              <w:spacing w:line="400" w:lineRule="exact"/>
              <w:jc w:val="left"/>
              <w:rPr>
                <w:rFonts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操作系统：Windows 10</w:t>
            </w:r>
          </w:p>
        </w:tc>
        <w:tc>
          <w:tcPr>
            <w:tcW w:w="470" w:type="pct"/>
            <w:shd w:val="clear" w:color="auto" w:fill="auto"/>
            <w:vAlign w:val="center"/>
          </w:tcPr>
          <w:p w14:paraId="43FA4561">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734479B2">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25DCB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2DD37A74">
            <w:pPr>
              <w:jc w:val="center"/>
              <w:rPr>
                <w:rFonts w:ascii="宋体" w:hAnsi="宋体" w:eastAsia="宋体" w:cs="宋体"/>
                <w:sz w:val="24"/>
                <w:szCs w:val="28"/>
              </w:rPr>
            </w:pPr>
            <w:r>
              <w:rPr>
                <w:rFonts w:hint="eastAsia" w:ascii="宋体" w:hAnsi="宋体" w:eastAsia="宋体" w:cs="宋体"/>
                <w:sz w:val="24"/>
                <w:szCs w:val="28"/>
              </w:rPr>
              <w:t>19</w:t>
            </w:r>
          </w:p>
        </w:tc>
        <w:tc>
          <w:tcPr>
            <w:tcW w:w="638" w:type="pct"/>
            <w:shd w:val="clear" w:color="auto" w:fill="auto"/>
            <w:vAlign w:val="center"/>
          </w:tcPr>
          <w:p w14:paraId="250D7F12">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kern w:val="0"/>
                <w:sz w:val="24"/>
                <w:szCs w:val="24"/>
              </w:rPr>
              <w:t>显示器/</w:t>
            </w:r>
            <w:r>
              <w:rPr>
                <w:rFonts w:hint="eastAsia" w:ascii="宋体" w:hAnsi="宋体" w:eastAsia="宋体" w:cs="宋体"/>
                <w:color w:val="000000"/>
                <w:kern w:val="0"/>
                <w:sz w:val="24"/>
                <w:szCs w:val="24"/>
              </w:rPr>
              <w:t>键盘/鼠标</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评审指标145</w:t>
            </w:r>
            <w:r>
              <w:rPr>
                <w:rFonts w:hint="eastAsia" w:ascii="宋体" w:hAnsi="宋体" w:cs="宋体"/>
                <w:b/>
                <w:bCs/>
                <w:color w:val="auto"/>
                <w:sz w:val="24"/>
                <w:szCs w:val="24"/>
                <w:lang w:eastAsia="zh-CN"/>
              </w:rPr>
              <w:t>）</w:t>
            </w:r>
          </w:p>
        </w:tc>
        <w:tc>
          <w:tcPr>
            <w:tcW w:w="3008" w:type="pct"/>
            <w:shd w:val="clear" w:color="auto" w:fill="auto"/>
            <w:vAlign w:val="center"/>
          </w:tcPr>
          <w:p w14:paraId="7ACC57DD">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显示器：24英寸或以上</w:t>
            </w:r>
          </w:p>
          <w:p w14:paraId="11D0A198">
            <w:pPr>
              <w:autoSpaceDE w:val="0"/>
              <w:autoSpaceDN w:val="0"/>
              <w:spacing w:line="400" w:lineRule="exact"/>
              <w:jc w:val="left"/>
              <w:rPr>
                <w:rFonts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配置：键盘、鼠标</w:t>
            </w:r>
          </w:p>
        </w:tc>
        <w:tc>
          <w:tcPr>
            <w:tcW w:w="470" w:type="pct"/>
            <w:shd w:val="clear" w:color="auto" w:fill="auto"/>
            <w:vAlign w:val="center"/>
          </w:tcPr>
          <w:p w14:paraId="0BD405B6">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5FEBC126">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tr w14:paraId="34B66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1348B7FF">
            <w:pPr>
              <w:jc w:val="center"/>
              <w:rPr>
                <w:rFonts w:ascii="宋体" w:hAnsi="宋体" w:eastAsia="宋体" w:cs="宋体"/>
                <w:sz w:val="24"/>
                <w:szCs w:val="28"/>
              </w:rPr>
            </w:pPr>
            <w:r>
              <w:rPr>
                <w:rFonts w:hint="eastAsia" w:ascii="宋体" w:hAnsi="宋体" w:eastAsia="宋体" w:cs="宋体"/>
                <w:sz w:val="24"/>
                <w:szCs w:val="28"/>
              </w:rPr>
              <w:t>20</w:t>
            </w:r>
          </w:p>
        </w:tc>
        <w:tc>
          <w:tcPr>
            <w:tcW w:w="638" w:type="pct"/>
            <w:shd w:val="clear" w:color="auto" w:fill="auto"/>
            <w:vAlign w:val="center"/>
          </w:tcPr>
          <w:p w14:paraId="67C77718">
            <w:pPr>
              <w:adjustRightInd w:val="0"/>
              <w:snapToGrid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警示灯LED三色</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评审指标146</w:t>
            </w:r>
            <w:r>
              <w:rPr>
                <w:rFonts w:hint="eastAsia" w:ascii="宋体" w:hAnsi="宋体" w:cs="宋体"/>
                <w:b/>
                <w:bCs/>
                <w:color w:val="auto"/>
                <w:sz w:val="24"/>
                <w:szCs w:val="24"/>
                <w:lang w:eastAsia="zh-CN"/>
              </w:rPr>
              <w:t>）</w:t>
            </w:r>
          </w:p>
        </w:tc>
        <w:tc>
          <w:tcPr>
            <w:tcW w:w="3008" w:type="pct"/>
            <w:shd w:val="clear" w:color="auto" w:fill="auto"/>
            <w:vAlign w:val="center"/>
          </w:tcPr>
          <w:p w14:paraId="6A30BC2B">
            <w:pPr>
              <w:autoSpaceDE w:val="0"/>
              <w:autoSpaceDN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运行指示灯。</w:t>
            </w:r>
          </w:p>
        </w:tc>
        <w:tc>
          <w:tcPr>
            <w:tcW w:w="470" w:type="pct"/>
            <w:shd w:val="clear" w:color="auto" w:fill="auto"/>
            <w:vAlign w:val="center"/>
          </w:tcPr>
          <w:p w14:paraId="6AAF9F66">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6E830DD4">
            <w:pPr>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7F27FF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55CA9679">
            <w:pPr>
              <w:jc w:val="center"/>
              <w:rPr>
                <w:rFonts w:ascii="宋体" w:hAnsi="宋体" w:eastAsia="宋体" w:cs="宋体"/>
                <w:sz w:val="24"/>
                <w:szCs w:val="28"/>
              </w:rPr>
            </w:pPr>
            <w:r>
              <w:rPr>
                <w:rFonts w:hint="eastAsia" w:ascii="宋体" w:hAnsi="宋体" w:eastAsia="宋体" w:cs="宋体"/>
                <w:sz w:val="24"/>
                <w:szCs w:val="28"/>
              </w:rPr>
              <w:t>21</w:t>
            </w:r>
          </w:p>
        </w:tc>
        <w:tc>
          <w:tcPr>
            <w:tcW w:w="638" w:type="pct"/>
            <w:shd w:val="clear" w:color="auto" w:fill="auto"/>
            <w:vAlign w:val="center"/>
          </w:tcPr>
          <w:p w14:paraId="57FB7D04">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保护功能要求</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评审指标147</w:t>
            </w:r>
            <w:r>
              <w:rPr>
                <w:rFonts w:hint="eastAsia" w:ascii="宋体" w:hAnsi="宋体" w:cs="宋体"/>
                <w:b/>
                <w:bCs/>
                <w:color w:val="auto"/>
                <w:sz w:val="24"/>
                <w:szCs w:val="24"/>
                <w:lang w:eastAsia="zh-CN"/>
              </w:rPr>
              <w:t>）</w:t>
            </w:r>
          </w:p>
        </w:tc>
        <w:tc>
          <w:tcPr>
            <w:tcW w:w="3008" w:type="pct"/>
            <w:shd w:val="clear" w:color="auto" w:fill="auto"/>
            <w:vAlign w:val="center"/>
          </w:tcPr>
          <w:p w14:paraId="65F7F338">
            <w:pPr>
              <w:widowControl/>
              <w:adjustRightInd w:val="0"/>
              <w:snapToGrid w:val="0"/>
              <w:spacing w:line="400" w:lineRule="exact"/>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具备空开及急停功能</w:t>
            </w:r>
          </w:p>
        </w:tc>
        <w:tc>
          <w:tcPr>
            <w:tcW w:w="470" w:type="pct"/>
            <w:shd w:val="clear" w:color="auto" w:fill="auto"/>
            <w:vAlign w:val="center"/>
          </w:tcPr>
          <w:p w14:paraId="743A9357">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0633754F">
            <w:pPr>
              <w:widowControl/>
              <w:adjustRightInd w:val="0"/>
              <w:snapToGrid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台</w:t>
            </w:r>
          </w:p>
        </w:tc>
      </w:tr>
      <w:tr w14:paraId="6A7B45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3C75A3B6">
            <w:pPr>
              <w:jc w:val="center"/>
              <w:rPr>
                <w:rFonts w:ascii="宋体" w:hAnsi="宋体" w:eastAsia="宋体" w:cs="宋体"/>
                <w:sz w:val="24"/>
                <w:szCs w:val="28"/>
              </w:rPr>
            </w:pPr>
            <w:r>
              <w:rPr>
                <w:rFonts w:hint="eastAsia" w:ascii="宋体" w:hAnsi="宋体" w:eastAsia="宋体" w:cs="宋体"/>
                <w:sz w:val="24"/>
                <w:szCs w:val="28"/>
              </w:rPr>
              <w:t>22</w:t>
            </w:r>
          </w:p>
        </w:tc>
        <w:tc>
          <w:tcPr>
            <w:tcW w:w="638" w:type="pct"/>
            <w:shd w:val="clear" w:color="auto" w:fill="auto"/>
            <w:vAlign w:val="center"/>
          </w:tcPr>
          <w:p w14:paraId="08165DDA">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交流供电线束</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评审指标148</w:t>
            </w:r>
            <w:r>
              <w:rPr>
                <w:rFonts w:hint="eastAsia" w:ascii="宋体" w:hAnsi="宋体" w:cs="宋体"/>
                <w:b/>
                <w:bCs/>
                <w:color w:val="auto"/>
                <w:sz w:val="24"/>
                <w:szCs w:val="24"/>
                <w:lang w:eastAsia="zh-CN"/>
              </w:rPr>
              <w:t>）</w:t>
            </w:r>
          </w:p>
        </w:tc>
        <w:tc>
          <w:tcPr>
            <w:tcW w:w="3008" w:type="pct"/>
            <w:shd w:val="clear" w:color="auto" w:fill="auto"/>
            <w:vAlign w:val="center"/>
          </w:tcPr>
          <w:p w14:paraId="5D1B3AC7">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线长：机柜外 </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5m</w:t>
            </w:r>
          </w:p>
        </w:tc>
        <w:tc>
          <w:tcPr>
            <w:tcW w:w="470" w:type="pct"/>
            <w:shd w:val="clear" w:color="auto" w:fill="auto"/>
            <w:vAlign w:val="center"/>
          </w:tcPr>
          <w:p w14:paraId="78AAC22D">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49E8290A">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r>
      <w:tr w14:paraId="61B47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162C6D37">
            <w:pPr>
              <w:jc w:val="center"/>
              <w:rPr>
                <w:rFonts w:ascii="宋体" w:hAnsi="宋体" w:eastAsia="宋体" w:cs="宋体"/>
                <w:sz w:val="24"/>
                <w:szCs w:val="28"/>
              </w:rPr>
            </w:pPr>
            <w:r>
              <w:rPr>
                <w:rFonts w:hint="eastAsia" w:ascii="宋体" w:hAnsi="宋体" w:eastAsia="宋体" w:cs="宋体"/>
                <w:sz w:val="24"/>
                <w:szCs w:val="28"/>
              </w:rPr>
              <w:t>23</w:t>
            </w:r>
          </w:p>
        </w:tc>
        <w:tc>
          <w:tcPr>
            <w:tcW w:w="638" w:type="pct"/>
            <w:shd w:val="clear" w:color="auto" w:fill="auto"/>
            <w:vAlign w:val="center"/>
          </w:tcPr>
          <w:p w14:paraId="4166A462">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直流输出</w:t>
            </w:r>
            <w:bookmarkStart w:id="24" w:name="OLE_LINK11"/>
            <w:r>
              <w:rPr>
                <w:rFonts w:hint="eastAsia" w:ascii="宋体" w:hAnsi="宋体" w:eastAsia="宋体" w:cs="宋体"/>
                <w:kern w:val="0"/>
                <w:sz w:val="24"/>
                <w:szCs w:val="24"/>
              </w:rPr>
              <w:t>线束要求</w:t>
            </w:r>
            <w:bookmarkEnd w:id="24"/>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评审指标149</w:t>
            </w:r>
            <w:r>
              <w:rPr>
                <w:rFonts w:hint="eastAsia" w:ascii="宋体" w:hAnsi="宋体" w:cs="宋体"/>
                <w:b/>
                <w:bCs/>
                <w:color w:val="auto"/>
                <w:sz w:val="24"/>
                <w:szCs w:val="24"/>
                <w:lang w:eastAsia="zh-CN"/>
              </w:rPr>
              <w:t>）</w:t>
            </w:r>
          </w:p>
        </w:tc>
        <w:tc>
          <w:tcPr>
            <w:tcW w:w="3008" w:type="pct"/>
            <w:shd w:val="clear" w:color="auto" w:fill="auto"/>
            <w:vAlign w:val="center"/>
          </w:tcPr>
          <w:p w14:paraId="19BD0F6F">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线长：机柜前外 </w:t>
            </w:r>
            <w:r>
              <w:rPr>
                <w:rFonts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rPr>
              <w:t>3 m（1000A大电流线）</w:t>
            </w:r>
          </w:p>
          <w:p w14:paraId="0505C1E9">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绝缘电阻线及高压线：机柜外3</w:t>
            </w:r>
            <w:r>
              <w:rPr>
                <w:rFonts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rPr>
              <w:t>5米</w:t>
            </w:r>
          </w:p>
        </w:tc>
        <w:tc>
          <w:tcPr>
            <w:tcW w:w="470" w:type="pct"/>
            <w:shd w:val="clear" w:color="auto" w:fill="auto"/>
            <w:vAlign w:val="center"/>
          </w:tcPr>
          <w:p w14:paraId="48ECBE0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3D4380E4">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r>
      <w:tr w14:paraId="0DBC9D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642A531D">
            <w:pPr>
              <w:jc w:val="center"/>
              <w:rPr>
                <w:rFonts w:ascii="宋体" w:hAnsi="宋体" w:eastAsia="宋体" w:cs="宋体"/>
                <w:sz w:val="24"/>
                <w:szCs w:val="28"/>
              </w:rPr>
            </w:pPr>
            <w:r>
              <w:rPr>
                <w:rFonts w:hint="eastAsia" w:ascii="宋体" w:hAnsi="宋体" w:eastAsia="宋体" w:cs="宋体"/>
                <w:sz w:val="24"/>
                <w:szCs w:val="28"/>
              </w:rPr>
              <w:t>24</w:t>
            </w:r>
          </w:p>
        </w:tc>
        <w:tc>
          <w:tcPr>
            <w:tcW w:w="638" w:type="pct"/>
            <w:shd w:val="clear" w:color="auto" w:fill="auto"/>
            <w:vAlign w:val="center"/>
          </w:tcPr>
          <w:p w14:paraId="46C35B66">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信号线缆线束要求</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评审指标150</w:t>
            </w:r>
            <w:r>
              <w:rPr>
                <w:rFonts w:hint="eastAsia" w:ascii="宋体" w:hAnsi="宋体" w:cs="宋体"/>
                <w:b/>
                <w:bCs/>
                <w:color w:val="auto"/>
                <w:sz w:val="24"/>
                <w:szCs w:val="24"/>
                <w:lang w:eastAsia="zh-CN"/>
              </w:rPr>
              <w:t>）</w:t>
            </w:r>
          </w:p>
        </w:tc>
        <w:tc>
          <w:tcPr>
            <w:tcW w:w="3008" w:type="pct"/>
            <w:shd w:val="clear" w:color="auto" w:fill="auto"/>
            <w:vAlign w:val="center"/>
          </w:tcPr>
          <w:p w14:paraId="4F96260E">
            <w:pPr>
              <w:autoSpaceDE w:val="0"/>
              <w:autoSpaceDN w:val="0"/>
              <w:spacing w:line="4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到机柜正前方外2-</w:t>
            </w:r>
            <w:r>
              <w:rPr>
                <w:rFonts w:ascii="宋体" w:hAnsi="宋体" w:eastAsia="宋体" w:cs="宋体"/>
                <w:color w:val="auto"/>
                <w:kern w:val="0"/>
                <w:sz w:val="24"/>
                <w:szCs w:val="24"/>
                <w:highlight w:val="none"/>
              </w:rPr>
              <w:t>3</w:t>
            </w:r>
            <w:r>
              <w:rPr>
                <w:rFonts w:hint="eastAsia" w:ascii="宋体" w:hAnsi="宋体" w:eastAsia="宋体" w:cs="宋体"/>
                <w:color w:val="auto"/>
                <w:kern w:val="0"/>
                <w:sz w:val="24"/>
                <w:szCs w:val="24"/>
                <w:highlight w:val="none"/>
              </w:rPr>
              <w:t>米（包含端子排）</w:t>
            </w:r>
          </w:p>
        </w:tc>
        <w:tc>
          <w:tcPr>
            <w:tcW w:w="470" w:type="pct"/>
            <w:shd w:val="clear" w:color="auto" w:fill="auto"/>
            <w:vAlign w:val="center"/>
          </w:tcPr>
          <w:p w14:paraId="4E3EC44C">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58FD6FF3">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r>
      <w:tr w14:paraId="24093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17E1415B">
            <w:pPr>
              <w:jc w:val="center"/>
              <w:rPr>
                <w:rFonts w:ascii="宋体" w:hAnsi="宋体" w:eastAsia="宋体" w:cs="宋体"/>
                <w:sz w:val="24"/>
                <w:szCs w:val="28"/>
              </w:rPr>
            </w:pPr>
            <w:r>
              <w:rPr>
                <w:rFonts w:hint="eastAsia" w:ascii="宋体" w:hAnsi="宋体" w:eastAsia="宋体" w:cs="宋体"/>
                <w:sz w:val="24"/>
                <w:szCs w:val="28"/>
              </w:rPr>
              <w:t>25</w:t>
            </w:r>
          </w:p>
        </w:tc>
        <w:tc>
          <w:tcPr>
            <w:tcW w:w="638" w:type="pct"/>
            <w:shd w:val="clear" w:color="auto" w:fill="auto"/>
            <w:vAlign w:val="center"/>
          </w:tcPr>
          <w:p w14:paraId="379506CB">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测试系统软件</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评审指标151</w:t>
            </w:r>
            <w:r>
              <w:rPr>
                <w:rFonts w:hint="eastAsia" w:ascii="宋体" w:hAnsi="宋体" w:cs="宋体"/>
                <w:b/>
                <w:bCs/>
                <w:color w:val="auto"/>
                <w:sz w:val="24"/>
                <w:szCs w:val="24"/>
                <w:lang w:eastAsia="zh-CN"/>
              </w:rPr>
              <w:t>）</w:t>
            </w:r>
          </w:p>
        </w:tc>
        <w:tc>
          <w:tcPr>
            <w:tcW w:w="3008" w:type="pct"/>
            <w:shd w:val="clear" w:color="auto" w:fill="auto"/>
            <w:vAlign w:val="center"/>
          </w:tcPr>
          <w:p w14:paraId="6B325F34">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kern w:val="0"/>
                <w:sz w:val="24"/>
                <w:szCs w:val="24"/>
              </w:rPr>
              <w:t>功能：基于GB/T 34131-2023测试标准开发的测试应用软件，完全符合标准要求；兼容</w:t>
            </w:r>
            <w:r>
              <w:rPr>
                <w:rFonts w:hint="eastAsia" w:ascii="宋体" w:hAnsi="宋体" w:eastAsia="宋体" w:cs="宋体"/>
                <w:sz w:val="24"/>
                <w:szCs w:val="24"/>
              </w:rPr>
              <w:t>GB∕T 38661-2020</w:t>
            </w:r>
            <w:r>
              <w:rPr>
                <w:rFonts w:hint="eastAsia" w:ascii="宋体" w:hAnsi="宋体" w:eastAsia="宋体" w:cs="宋体"/>
                <w:color w:val="000000"/>
                <w:kern w:val="0"/>
                <w:sz w:val="24"/>
                <w:szCs w:val="24"/>
              </w:rPr>
              <w:t>标准中部分功能，具体请参考</w:t>
            </w:r>
            <w:r>
              <w:rPr>
                <w:rFonts w:hint="eastAsia" w:ascii="宋体" w:hAnsi="宋体" w:eastAsia="宋体" w:cs="宋体"/>
                <w:sz w:val="24"/>
                <w:szCs w:val="24"/>
              </w:rPr>
              <w:t>3.2要求</w:t>
            </w:r>
            <w:r>
              <w:rPr>
                <w:rFonts w:hint="eastAsia" w:ascii="宋体" w:hAnsi="宋体" w:eastAsia="宋体" w:cs="宋体"/>
                <w:color w:val="000000"/>
                <w:kern w:val="0"/>
                <w:sz w:val="24"/>
                <w:szCs w:val="24"/>
              </w:rPr>
              <w:t>。</w:t>
            </w:r>
          </w:p>
        </w:tc>
        <w:tc>
          <w:tcPr>
            <w:tcW w:w="470" w:type="pct"/>
            <w:shd w:val="clear" w:color="auto" w:fill="auto"/>
            <w:vAlign w:val="center"/>
          </w:tcPr>
          <w:p w14:paraId="067B3658">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3FE08989">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r>
      <w:tr w14:paraId="04EFAD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106E0594">
            <w:pPr>
              <w:jc w:val="center"/>
              <w:rPr>
                <w:rFonts w:ascii="宋体" w:hAnsi="宋体" w:eastAsia="宋体" w:cs="宋体"/>
                <w:sz w:val="24"/>
                <w:szCs w:val="28"/>
              </w:rPr>
            </w:pPr>
            <w:r>
              <w:rPr>
                <w:rFonts w:hint="eastAsia" w:ascii="宋体" w:hAnsi="宋体" w:eastAsia="宋体" w:cs="宋体"/>
                <w:sz w:val="24"/>
                <w:szCs w:val="28"/>
              </w:rPr>
              <w:t>26</w:t>
            </w:r>
          </w:p>
        </w:tc>
        <w:tc>
          <w:tcPr>
            <w:tcW w:w="638" w:type="pct"/>
            <w:shd w:val="clear" w:color="auto" w:fill="auto"/>
            <w:vAlign w:val="center"/>
          </w:tcPr>
          <w:p w14:paraId="67D8A8B9">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rPr>
              <w:t>CAN盒子和万用表</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评审指标152</w:t>
            </w:r>
            <w:r>
              <w:rPr>
                <w:rFonts w:hint="eastAsia" w:ascii="宋体" w:hAnsi="宋体" w:cs="宋体"/>
                <w:b/>
                <w:bCs/>
                <w:color w:val="auto"/>
                <w:sz w:val="24"/>
                <w:szCs w:val="24"/>
                <w:lang w:eastAsia="zh-CN"/>
              </w:rPr>
              <w:t>）</w:t>
            </w:r>
          </w:p>
        </w:tc>
        <w:tc>
          <w:tcPr>
            <w:tcW w:w="3008" w:type="pct"/>
            <w:shd w:val="clear" w:color="auto" w:fill="auto"/>
            <w:vAlign w:val="center"/>
          </w:tcPr>
          <w:p w14:paraId="7DCDB69E">
            <w:pPr>
              <w:autoSpaceDE w:val="0"/>
              <w:autoSpaceDN w:val="0"/>
              <w:spacing w:line="400" w:lineRule="exact"/>
              <w:jc w:val="left"/>
              <w:rPr>
                <w:rFonts w:ascii="宋体" w:hAnsi="宋体" w:eastAsia="宋体" w:cs="宋体"/>
                <w:kern w:val="0"/>
                <w:sz w:val="24"/>
                <w:szCs w:val="24"/>
              </w:rPr>
            </w:pPr>
            <w:r>
              <w:rPr>
                <w:rFonts w:hint="eastAsia" w:ascii="宋体" w:hAnsi="宋体" w:eastAsia="宋体" w:cs="宋体"/>
                <w:color w:val="000000"/>
                <w:kern w:val="0"/>
                <w:sz w:val="24"/>
                <w:szCs w:val="24"/>
              </w:rPr>
              <w:t>CAN盒子有协议限制可兼容，万用表用于测试中排查用，判断系统硬件输出是不是正常。</w:t>
            </w:r>
          </w:p>
        </w:tc>
        <w:tc>
          <w:tcPr>
            <w:tcW w:w="470" w:type="pct"/>
            <w:shd w:val="clear" w:color="auto" w:fill="auto"/>
            <w:vAlign w:val="center"/>
          </w:tcPr>
          <w:p w14:paraId="57E3BD70">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02" w:type="pct"/>
            <w:shd w:val="clear" w:color="auto" w:fill="auto"/>
            <w:vAlign w:val="center"/>
          </w:tcPr>
          <w:p w14:paraId="56E75D35">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kern w:val="0"/>
                <w:sz w:val="24"/>
                <w:szCs w:val="24"/>
              </w:rPr>
              <w:t>套</w:t>
            </w:r>
          </w:p>
        </w:tc>
      </w:tr>
      <w:tr w14:paraId="702B72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79D42310">
            <w:pPr>
              <w:jc w:val="center"/>
              <w:rPr>
                <w:rFonts w:ascii="宋体" w:hAnsi="宋体" w:eastAsia="宋体" w:cs="宋体"/>
                <w:sz w:val="24"/>
                <w:szCs w:val="28"/>
              </w:rPr>
            </w:pPr>
            <w:r>
              <w:rPr>
                <w:rFonts w:hint="eastAsia" w:ascii="宋体" w:hAnsi="宋体" w:eastAsia="宋体" w:cs="宋体"/>
                <w:sz w:val="24"/>
                <w:szCs w:val="28"/>
              </w:rPr>
              <w:t>27</w:t>
            </w:r>
          </w:p>
        </w:tc>
        <w:tc>
          <w:tcPr>
            <w:tcW w:w="638" w:type="pct"/>
            <w:shd w:val="clear" w:color="auto" w:fill="auto"/>
            <w:vAlign w:val="center"/>
          </w:tcPr>
          <w:p w14:paraId="5A521D17">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rPr>
              <w:t>输出数据报告要求</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评审指标153</w:t>
            </w:r>
            <w:r>
              <w:rPr>
                <w:rFonts w:hint="eastAsia" w:ascii="宋体" w:hAnsi="宋体" w:cs="宋体"/>
                <w:b/>
                <w:bCs/>
                <w:color w:val="auto"/>
                <w:sz w:val="24"/>
                <w:szCs w:val="24"/>
                <w:lang w:eastAsia="zh-CN"/>
              </w:rPr>
              <w:t>）</w:t>
            </w:r>
          </w:p>
        </w:tc>
        <w:tc>
          <w:tcPr>
            <w:tcW w:w="3008" w:type="pct"/>
            <w:shd w:val="clear" w:color="auto" w:fill="auto"/>
            <w:vAlign w:val="center"/>
          </w:tcPr>
          <w:p w14:paraId="1B32D400">
            <w:pPr>
              <w:autoSpaceDE w:val="0"/>
              <w:autoSpaceDN w:val="0"/>
              <w:spacing w:line="400" w:lineRule="exact"/>
              <w:jc w:val="left"/>
              <w:rPr>
                <w:rFonts w:ascii="宋体" w:hAnsi="宋体" w:eastAsia="宋体" w:cs="宋体"/>
                <w:b/>
                <w:bCs/>
                <w:kern w:val="0"/>
                <w:sz w:val="24"/>
                <w:szCs w:val="24"/>
              </w:rPr>
            </w:pPr>
            <w:r>
              <w:rPr>
                <w:rFonts w:hint="eastAsia" w:ascii="宋体" w:hAnsi="宋体" w:eastAsia="宋体" w:cs="宋体"/>
                <w:color w:val="000000"/>
                <w:kern w:val="0"/>
                <w:sz w:val="24"/>
                <w:szCs w:val="24"/>
              </w:rPr>
              <w:t>具备指定的文档和表格格式保存数据及报告，可根据客户要求定制升级。</w:t>
            </w:r>
          </w:p>
        </w:tc>
        <w:tc>
          <w:tcPr>
            <w:tcW w:w="470" w:type="pct"/>
            <w:shd w:val="clear" w:color="auto" w:fill="auto"/>
            <w:vAlign w:val="center"/>
          </w:tcPr>
          <w:p w14:paraId="07FBB2E9">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rPr>
              <w:t>1</w:t>
            </w:r>
          </w:p>
        </w:tc>
        <w:tc>
          <w:tcPr>
            <w:tcW w:w="402" w:type="pct"/>
            <w:shd w:val="clear" w:color="auto" w:fill="auto"/>
            <w:vAlign w:val="center"/>
          </w:tcPr>
          <w:p w14:paraId="5E0B3CE1">
            <w:pPr>
              <w:autoSpaceDE w:val="0"/>
              <w:autoSpaceDN w:val="0"/>
              <w:spacing w:line="400" w:lineRule="exact"/>
              <w:jc w:val="center"/>
              <w:rPr>
                <w:rFonts w:ascii="宋体" w:hAnsi="宋体" w:eastAsia="宋体" w:cs="宋体"/>
                <w:kern w:val="0"/>
                <w:sz w:val="24"/>
                <w:szCs w:val="24"/>
              </w:rPr>
            </w:pPr>
            <w:r>
              <w:rPr>
                <w:rFonts w:hint="eastAsia" w:ascii="宋体" w:hAnsi="宋体" w:eastAsia="宋体" w:cs="宋体"/>
                <w:color w:val="000000"/>
                <w:kern w:val="0"/>
                <w:sz w:val="24"/>
                <w:szCs w:val="24"/>
              </w:rPr>
              <w:t>套</w:t>
            </w:r>
          </w:p>
        </w:tc>
      </w:tr>
      <w:tr w14:paraId="306E0F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479" w:type="pct"/>
            <w:shd w:val="clear" w:color="auto" w:fill="auto"/>
            <w:vAlign w:val="center"/>
          </w:tcPr>
          <w:p w14:paraId="4DCE049D">
            <w:pPr>
              <w:jc w:val="center"/>
              <w:rPr>
                <w:rFonts w:ascii="宋体" w:hAnsi="宋体" w:eastAsia="宋体" w:cs="宋体"/>
                <w:sz w:val="24"/>
                <w:szCs w:val="28"/>
              </w:rPr>
            </w:pPr>
            <w:r>
              <w:rPr>
                <w:rFonts w:hint="eastAsia" w:ascii="宋体" w:hAnsi="宋体" w:eastAsia="宋体" w:cs="宋体"/>
                <w:sz w:val="24"/>
                <w:szCs w:val="28"/>
              </w:rPr>
              <w:t>28</w:t>
            </w:r>
          </w:p>
        </w:tc>
        <w:tc>
          <w:tcPr>
            <w:tcW w:w="638" w:type="pct"/>
            <w:shd w:val="clear" w:color="auto" w:fill="auto"/>
            <w:vAlign w:val="center"/>
          </w:tcPr>
          <w:p w14:paraId="7393DDDD">
            <w:pPr>
              <w:autoSpaceDE w:val="0"/>
              <w:autoSpaceDN w:val="0"/>
              <w:spacing w:line="400" w:lineRule="exact"/>
              <w:jc w:val="center"/>
              <w:rPr>
                <w:rFonts w:ascii="宋体" w:hAnsi="宋体" w:eastAsia="宋体" w:cs="宋体"/>
                <w:color w:val="000000"/>
                <w:kern w:val="0"/>
                <w:sz w:val="24"/>
                <w:szCs w:val="24"/>
              </w:rPr>
            </w:pPr>
            <w:r>
              <w:rPr>
                <w:rFonts w:hint="eastAsia" w:ascii="宋体" w:hAnsi="宋体" w:eastAsia="宋体" w:cs="宋体"/>
                <w:kern w:val="0"/>
                <w:sz w:val="24"/>
                <w:szCs w:val="24"/>
              </w:rPr>
              <w:t>阻抗稳定网络</w:t>
            </w:r>
            <w:r>
              <w:rPr>
                <w:rFonts w:hint="eastAsia" w:ascii="宋体" w:hAnsi="宋体" w:cs="宋体"/>
                <w:b/>
                <w:bCs/>
                <w:color w:val="auto"/>
                <w:sz w:val="24"/>
                <w:szCs w:val="24"/>
                <w:lang w:eastAsia="zh-CN"/>
              </w:rPr>
              <w:t>（</w:t>
            </w:r>
            <w:r>
              <w:rPr>
                <w:rFonts w:hint="eastAsia" w:ascii="宋体" w:hAnsi="宋体" w:cs="宋体"/>
                <w:b/>
                <w:bCs/>
                <w:color w:val="auto"/>
                <w:sz w:val="24"/>
                <w:szCs w:val="24"/>
                <w:lang w:val="en-US" w:eastAsia="zh-CN"/>
              </w:rPr>
              <w:t>评审指标154</w:t>
            </w:r>
            <w:r>
              <w:rPr>
                <w:rFonts w:hint="eastAsia" w:ascii="宋体" w:hAnsi="宋体" w:cs="宋体"/>
                <w:b/>
                <w:bCs/>
                <w:color w:val="auto"/>
                <w:sz w:val="24"/>
                <w:szCs w:val="24"/>
                <w:lang w:eastAsia="zh-CN"/>
              </w:rPr>
              <w:t>）</w:t>
            </w:r>
          </w:p>
        </w:tc>
        <w:tc>
          <w:tcPr>
            <w:tcW w:w="3008" w:type="pct"/>
            <w:shd w:val="clear" w:color="auto" w:fill="auto"/>
            <w:vAlign w:val="center"/>
          </w:tcPr>
          <w:p w14:paraId="0AB35788">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最大连续电流：800 A</w:t>
            </w:r>
          </w:p>
          <w:p w14:paraId="1D31B3C8">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最大电流（限时）：1000 A</w:t>
            </w:r>
          </w:p>
          <w:p w14:paraId="16CABC0D">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最大电压（直流）：1000 V</w:t>
            </w:r>
          </w:p>
          <w:p w14:paraId="7A9D01A1">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最大电压（交流 50/60 Hz）：1000 V</w:t>
            </w:r>
          </w:p>
          <w:p w14:paraId="7454858E">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最大电压（交流400 Hz）：500V</w:t>
            </w:r>
          </w:p>
          <w:p w14:paraId="69949364">
            <w:pPr>
              <w:autoSpaceDE w:val="0"/>
              <w:autoSpaceDN w:val="0"/>
              <w:spacing w:line="400" w:lineRule="exact"/>
              <w:jc w:val="left"/>
              <w:rPr>
                <w:rFonts w:ascii="宋体" w:hAnsi="宋体" w:eastAsia="宋体" w:cs="宋体"/>
                <w:kern w:val="0"/>
                <w:sz w:val="24"/>
                <w:szCs w:val="24"/>
                <w:highlight w:val="none"/>
              </w:rPr>
            </w:pPr>
            <w:r>
              <w:rPr>
                <w:rFonts w:hint="eastAsia" w:ascii="宋体" w:hAnsi="宋体" w:eastAsia="宋体" w:cs="宋体"/>
                <w:kern w:val="0"/>
                <w:sz w:val="24"/>
                <w:szCs w:val="24"/>
                <w:highlight w:val="none"/>
              </w:rPr>
              <w:t>阻抗:50 μH|50Ω（+/-20 %）</w:t>
            </w:r>
          </w:p>
          <w:p w14:paraId="03E75872">
            <w:pPr>
              <w:autoSpaceDE w:val="0"/>
              <w:autoSpaceDN w:val="0"/>
              <w:spacing w:line="400" w:lineRule="exact"/>
              <w:jc w:val="left"/>
              <w:rPr>
                <w:rFonts w:ascii="宋体" w:hAnsi="宋体" w:eastAsia="宋体" w:cs="宋体"/>
                <w:color w:val="000000"/>
                <w:kern w:val="0"/>
                <w:sz w:val="24"/>
                <w:szCs w:val="24"/>
              </w:rPr>
            </w:pPr>
            <w:r>
              <w:rPr>
                <w:rFonts w:hint="eastAsia" w:ascii="宋体" w:hAnsi="宋体" w:eastAsia="宋体" w:cs="宋体"/>
                <w:kern w:val="0"/>
                <w:sz w:val="24"/>
                <w:szCs w:val="24"/>
                <w:highlight w:val="none"/>
              </w:rPr>
              <w:t>4套阻抗稳定网络安装于2个独立机柜和1套射频开关进行远程控制</w:t>
            </w:r>
          </w:p>
        </w:tc>
        <w:tc>
          <w:tcPr>
            <w:tcW w:w="470" w:type="pct"/>
            <w:shd w:val="clear" w:color="auto" w:fill="auto"/>
            <w:vAlign w:val="center"/>
          </w:tcPr>
          <w:p w14:paraId="5D38BD38">
            <w:pPr>
              <w:autoSpaceDE w:val="0"/>
              <w:autoSpaceDN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402" w:type="pct"/>
            <w:shd w:val="clear" w:color="auto" w:fill="auto"/>
            <w:vAlign w:val="center"/>
          </w:tcPr>
          <w:p w14:paraId="64BFE2D6">
            <w:pPr>
              <w:autoSpaceDE w:val="0"/>
              <w:autoSpaceDN w:val="0"/>
              <w:spacing w:line="400" w:lineRule="exact"/>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套</w:t>
            </w:r>
          </w:p>
        </w:tc>
      </w:tr>
      <w:bookmarkEnd w:id="20"/>
      <w:bookmarkEnd w:id="23"/>
    </w:tbl>
    <w:p w14:paraId="3F9FD4BC">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三、商务要求（以“★”标示的内容为不允许负偏离的实质性要求）</w:t>
      </w:r>
    </w:p>
    <w:p w14:paraId="0E172B4A">
      <w:pPr>
        <w:pStyle w:val="14"/>
        <w:spacing w:line="360" w:lineRule="auto"/>
        <w:jc w:val="both"/>
        <w:rPr>
          <w:rFonts w:hint="default" w:ascii="宋体" w:hAnsi="宋体" w:eastAsia="宋体" w:cs="宋体"/>
          <w:sz w:val="24"/>
          <w:szCs w:val="24"/>
        </w:rPr>
      </w:pPr>
      <w:r>
        <w:rPr>
          <w:rFonts w:ascii="宋体" w:hAnsi="宋体" w:eastAsia="宋体" w:cs="宋体"/>
          <w:sz w:val="24"/>
          <w:szCs w:val="24"/>
        </w:rPr>
        <w:t>采购包1：</w:t>
      </w:r>
    </w:p>
    <w:tbl>
      <w:tblPr>
        <w:tblStyle w:val="11"/>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0F7486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8EA796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187" w:type="dxa"/>
            <w:vAlign w:val="center"/>
          </w:tcPr>
          <w:p w14:paraId="7182735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463" w:type="dxa"/>
            <w:vAlign w:val="center"/>
          </w:tcPr>
          <w:p w14:paraId="0DB4C55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5737" w:type="dxa"/>
            <w:vAlign w:val="center"/>
          </w:tcPr>
          <w:p w14:paraId="657DABE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4572DF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13E276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0B924D5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8985CF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交货时间</w:t>
            </w:r>
          </w:p>
        </w:tc>
        <w:tc>
          <w:tcPr>
            <w:tcW w:w="5737" w:type="dxa"/>
            <w:vAlign w:val="center"/>
          </w:tcPr>
          <w:p w14:paraId="53596B50">
            <w:pPr>
              <w:pStyle w:val="14"/>
              <w:spacing w:line="360" w:lineRule="auto"/>
              <w:rPr>
                <w:rFonts w:hint="default" w:ascii="宋体" w:hAnsi="宋体" w:eastAsia="宋体" w:cs="宋体"/>
                <w:sz w:val="24"/>
                <w:szCs w:val="24"/>
              </w:rPr>
            </w:pPr>
            <w:r>
              <w:rPr>
                <w:rFonts w:ascii="宋体" w:hAnsi="宋体" w:cs="宋体"/>
                <w:sz w:val="24"/>
                <w:szCs w:val="24"/>
              </w:rPr>
              <w:t>自合同签订之日起</w:t>
            </w:r>
            <w:r>
              <w:rPr>
                <w:rFonts w:ascii="宋体" w:hAnsi="宋体" w:cs="宋体"/>
                <w:sz w:val="24"/>
                <w:szCs w:val="24"/>
                <w:lang w:eastAsia="zh-CN"/>
              </w:rPr>
              <w:t>90</w:t>
            </w:r>
            <w:r>
              <w:rPr>
                <w:rFonts w:ascii="宋体" w:hAnsi="宋体" w:cs="宋体"/>
                <w:sz w:val="24"/>
                <w:szCs w:val="24"/>
              </w:rPr>
              <w:t>日</w:t>
            </w:r>
          </w:p>
        </w:tc>
      </w:tr>
      <w:tr w14:paraId="27A1B7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75EFB4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187" w:type="dxa"/>
            <w:vAlign w:val="center"/>
          </w:tcPr>
          <w:p w14:paraId="2683415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F9B4FF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交货地点</w:t>
            </w:r>
          </w:p>
        </w:tc>
        <w:tc>
          <w:tcPr>
            <w:tcW w:w="5737" w:type="dxa"/>
            <w:vAlign w:val="center"/>
          </w:tcPr>
          <w:p w14:paraId="7AD83CB3">
            <w:pPr>
              <w:pStyle w:val="14"/>
              <w:spacing w:line="360" w:lineRule="auto"/>
              <w:rPr>
                <w:rFonts w:hint="default" w:ascii="宋体" w:hAnsi="宋体" w:eastAsia="宋体" w:cs="宋体"/>
                <w:sz w:val="24"/>
                <w:szCs w:val="24"/>
              </w:rPr>
            </w:pPr>
            <w:r>
              <w:rPr>
                <w:rFonts w:ascii="宋体" w:hAnsi="宋体" w:cs="宋体"/>
                <w:sz w:val="24"/>
                <w:szCs w:val="24"/>
                <w:lang w:eastAsia="zh-CN"/>
              </w:rPr>
              <w:t>采购人</w:t>
            </w:r>
            <w:r>
              <w:rPr>
                <w:rFonts w:ascii="宋体" w:hAnsi="宋体" w:cs="宋体"/>
                <w:sz w:val="24"/>
                <w:szCs w:val="24"/>
              </w:rPr>
              <w:t>指定地点</w:t>
            </w:r>
          </w:p>
        </w:tc>
      </w:tr>
      <w:tr w14:paraId="1AD14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283415D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187" w:type="dxa"/>
            <w:vAlign w:val="center"/>
          </w:tcPr>
          <w:p w14:paraId="2EB7EE6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091DFA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交货条件</w:t>
            </w:r>
          </w:p>
        </w:tc>
        <w:tc>
          <w:tcPr>
            <w:tcW w:w="5737" w:type="dxa"/>
            <w:vAlign w:val="center"/>
          </w:tcPr>
          <w:p w14:paraId="19242326">
            <w:pPr>
              <w:pStyle w:val="14"/>
              <w:spacing w:line="360" w:lineRule="auto"/>
              <w:rPr>
                <w:rFonts w:hint="default" w:ascii="宋体" w:hAnsi="宋体" w:eastAsia="宋体" w:cs="宋体"/>
                <w:sz w:val="24"/>
                <w:szCs w:val="24"/>
              </w:rPr>
            </w:pPr>
            <w:r>
              <w:rPr>
                <w:rFonts w:ascii="宋体" w:hAnsi="宋体" w:cs="宋体"/>
                <w:sz w:val="24"/>
                <w:szCs w:val="24"/>
              </w:rPr>
              <w:t>货到安装，验收合格</w:t>
            </w:r>
          </w:p>
        </w:tc>
      </w:tr>
      <w:tr w14:paraId="71C485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ECA95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187" w:type="dxa"/>
            <w:vAlign w:val="center"/>
          </w:tcPr>
          <w:p w14:paraId="051BBA7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858B10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737" w:type="dxa"/>
            <w:vAlign w:val="center"/>
          </w:tcPr>
          <w:p w14:paraId="6997F577">
            <w:pPr>
              <w:pStyle w:val="14"/>
              <w:spacing w:line="360" w:lineRule="auto"/>
              <w:rPr>
                <w:rFonts w:hint="default" w:ascii="宋体" w:hAnsi="宋体" w:eastAsia="宋体" w:cs="宋体"/>
                <w:sz w:val="24"/>
                <w:szCs w:val="24"/>
              </w:rPr>
            </w:pPr>
            <w:r>
              <w:rPr>
                <w:rFonts w:ascii="宋体" w:hAnsi="宋体" w:cs="宋体"/>
                <w:sz w:val="24"/>
                <w:szCs w:val="24"/>
              </w:rPr>
              <w:t>不邀请投标人验收</w:t>
            </w:r>
          </w:p>
        </w:tc>
      </w:tr>
      <w:tr w14:paraId="2B4117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98C487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187" w:type="dxa"/>
            <w:vAlign w:val="center"/>
          </w:tcPr>
          <w:p w14:paraId="77C843D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502BCB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履约验收</w:t>
            </w:r>
          </w:p>
          <w:p w14:paraId="4F9DBB8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246360B3">
            <w:pPr>
              <w:pStyle w:val="14"/>
              <w:spacing w:line="360" w:lineRule="auto"/>
              <w:rPr>
                <w:rFonts w:hint="default" w:ascii="宋体" w:hAnsi="宋体" w:eastAsia="宋体" w:cs="宋体"/>
                <w:sz w:val="24"/>
                <w:szCs w:val="24"/>
              </w:rPr>
            </w:pPr>
            <w:r>
              <w:rPr>
                <w:rFonts w:ascii="宋体" w:hAnsi="宋体" w:cs="宋体"/>
                <w:sz w:val="24"/>
                <w:szCs w:val="24"/>
              </w:rPr>
              <w:t>1、期次1，说明：采购人自行组织项目验收。分为到货检验、安装调试检验、配套服务验收环节。验收时，按照采购合同的约定对每一项技术、服务、安全标准的履约情况进行确认。</w:t>
            </w:r>
          </w:p>
        </w:tc>
      </w:tr>
      <w:tr w14:paraId="79C61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3E3F2D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187" w:type="dxa"/>
            <w:vAlign w:val="center"/>
          </w:tcPr>
          <w:p w14:paraId="50006EE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5ABBA5B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合同支付</w:t>
            </w:r>
          </w:p>
          <w:p w14:paraId="6E8F941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1E63F94D">
            <w:pPr>
              <w:pStyle w:val="14"/>
              <w:spacing w:line="360" w:lineRule="auto"/>
              <w:rPr>
                <w:rFonts w:hint="default" w:ascii="宋体" w:hAnsi="宋体" w:cs="宋体"/>
                <w:sz w:val="24"/>
                <w:szCs w:val="24"/>
              </w:rPr>
            </w:pPr>
            <w:r>
              <w:rPr>
                <w:rFonts w:ascii="宋体" w:hAnsi="宋体" w:cs="宋体"/>
                <w:sz w:val="24"/>
                <w:szCs w:val="24"/>
              </w:rPr>
              <w:t>1、验收合格且收到合同全额增值税专用发票后，达到付款条件起</w:t>
            </w:r>
            <w:r>
              <w:rPr>
                <w:rFonts w:hint="default" w:ascii="宋体" w:hAnsi="宋体" w:cs="宋体"/>
                <w:sz w:val="24"/>
                <w:szCs w:val="24"/>
              </w:rPr>
              <w:t>30</w:t>
            </w:r>
            <w:r>
              <w:rPr>
                <w:rFonts w:ascii="宋体" w:hAnsi="宋体" w:cs="宋体"/>
                <w:sz w:val="24"/>
                <w:szCs w:val="24"/>
              </w:rPr>
              <w:t>日内，支付合同总金额的80.00%</w:t>
            </w:r>
          </w:p>
          <w:p w14:paraId="7B592C14">
            <w:pPr>
              <w:pStyle w:val="14"/>
              <w:spacing w:line="360" w:lineRule="auto"/>
              <w:rPr>
                <w:rFonts w:hint="default" w:ascii="宋体" w:hAnsi="宋体" w:eastAsia="宋体" w:cs="宋体"/>
                <w:sz w:val="24"/>
                <w:szCs w:val="24"/>
              </w:rPr>
            </w:pPr>
            <w:r>
              <w:rPr>
                <w:rFonts w:ascii="宋体" w:hAnsi="宋体" w:cs="宋体"/>
                <w:sz w:val="24"/>
                <w:szCs w:val="24"/>
              </w:rPr>
              <w:t>2、验收合格后正常使用三个月，达到付款条件起</w:t>
            </w:r>
            <w:r>
              <w:rPr>
                <w:rFonts w:hint="default" w:ascii="宋体" w:hAnsi="宋体" w:cs="宋体"/>
                <w:sz w:val="24"/>
                <w:szCs w:val="24"/>
              </w:rPr>
              <w:t>30</w:t>
            </w:r>
            <w:r>
              <w:rPr>
                <w:rFonts w:ascii="宋体" w:hAnsi="宋体" w:cs="宋体"/>
                <w:sz w:val="24"/>
                <w:szCs w:val="24"/>
              </w:rPr>
              <w:t>日内，支付合同总金额的20.00%</w:t>
            </w:r>
          </w:p>
        </w:tc>
      </w:tr>
      <w:tr w14:paraId="45A2D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7A05BD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187" w:type="dxa"/>
            <w:vAlign w:val="center"/>
          </w:tcPr>
          <w:p w14:paraId="1004520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0A1CF8F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履约保证金</w:t>
            </w:r>
          </w:p>
        </w:tc>
        <w:tc>
          <w:tcPr>
            <w:tcW w:w="5737" w:type="dxa"/>
            <w:vAlign w:val="center"/>
          </w:tcPr>
          <w:p w14:paraId="2B1481A3">
            <w:pPr>
              <w:pStyle w:val="14"/>
              <w:spacing w:line="360" w:lineRule="auto"/>
              <w:rPr>
                <w:rFonts w:hint="default" w:ascii="宋体" w:hAnsi="宋体" w:eastAsia="宋体" w:cs="宋体"/>
                <w:sz w:val="24"/>
                <w:szCs w:val="24"/>
              </w:rPr>
            </w:pPr>
            <w:r>
              <w:rPr>
                <w:rFonts w:ascii="宋体" w:hAnsi="宋体" w:cs="宋体"/>
                <w:sz w:val="24"/>
                <w:szCs w:val="24"/>
              </w:rPr>
              <w:t>不缴纳</w:t>
            </w:r>
          </w:p>
        </w:tc>
      </w:tr>
    </w:tbl>
    <w:p w14:paraId="19A2C28F">
      <w:pPr>
        <w:pStyle w:val="14"/>
        <w:spacing w:line="360" w:lineRule="auto"/>
        <w:jc w:val="both"/>
        <w:rPr>
          <w:rFonts w:hint="default" w:ascii="宋体" w:hAnsi="宋体" w:eastAsia="宋体" w:cs="宋体"/>
          <w:sz w:val="24"/>
          <w:szCs w:val="24"/>
        </w:rPr>
      </w:pPr>
    </w:p>
    <w:p w14:paraId="343EBCDC">
      <w:pPr>
        <w:pStyle w:val="14"/>
        <w:spacing w:line="360" w:lineRule="auto"/>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2</w:t>
      </w:r>
      <w:r>
        <w:rPr>
          <w:rFonts w:ascii="宋体" w:hAnsi="宋体" w:eastAsia="宋体" w:cs="宋体"/>
          <w:sz w:val="24"/>
          <w:szCs w:val="24"/>
        </w:rPr>
        <w:t>：</w:t>
      </w:r>
    </w:p>
    <w:tbl>
      <w:tblPr>
        <w:tblStyle w:val="11"/>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027B5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75588A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187" w:type="dxa"/>
            <w:vAlign w:val="center"/>
          </w:tcPr>
          <w:p w14:paraId="773396D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463" w:type="dxa"/>
            <w:vAlign w:val="center"/>
          </w:tcPr>
          <w:p w14:paraId="4E89469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5737" w:type="dxa"/>
            <w:vAlign w:val="center"/>
          </w:tcPr>
          <w:p w14:paraId="4FA9190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4D94A9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5BCEE0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3A6D427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4B9776C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交货时间</w:t>
            </w:r>
          </w:p>
        </w:tc>
        <w:tc>
          <w:tcPr>
            <w:tcW w:w="5737" w:type="dxa"/>
            <w:vAlign w:val="center"/>
          </w:tcPr>
          <w:p w14:paraId="542C9CBB">
            <w:pPr>
              <w:pStyle w:val="14"/>
              <w:spacing w:line="360" w:lineRule="auto"/>
              <w:rPr>
                <w:rFonts w:hint="default" w:ascii="宋体" w:hAnsi="宋体" w:eastAsia="宋体" w:cs="宋体"/>
                <w:sz w:val="24"/>
                <w:szCs w:val="24"/>
              </w:rPr>
            </w:pPr>
            <w:r>
              <w:rPr>
                <w:rFonts w:ascii="宋体" w:hAnsi="宋体" w:cs="宋体"/>
                <w:sz w:val="24"/>
                <w:szCs w:val="24"/>
              </w:rPr>
              <w:t>自合同签订之日起</w:t>
            </w:r>
            <w:r>
              <w:rPr>
                <w:rFonts w:ascii="宋体" w:hAnsi="宋体" w:cs="宋体"/>
                <w:sz w:val="24"/>
                <w:szCs w:val="24"/>
                <w:lang w:eastAsia="zh-CN"/>
              </w:rPr>
              <w:t>50</w:t>
            </w:r>
            <w:r>
              <w:rPr>
                <w:rFonts w:ascii="宋体" w:hAnsi="宋体" w:cs="宋体"/>
                <w:sz w:val="24"/>
                <w:szCs w:val="24"/>
              </w:rPr>
              <w:t>日</w:t>
            </w:r>
          </w:p>
        </w:tc>
      </w:tr>
      <w:tr w14:paraId="374A1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413F5D0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187" w:type="dxa"/>
            <w:vAlign w:val="center"/>
          </w:tcPr>
          <w:p w14:paraId="78BFA00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205F6BD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交货地点</w:t>
            </w:r>
          </w:p>
        </w:tc>
        <w:tc>
          <w:tcPr>
            <w:tcW w:w="5737" w:type="dxa"/>
            <w:vAlign w:val="center"/>
          </w:tcPr>
          <w:p w14:paraId="6DB9B345">
            <w:pPr>
              <w:pStyle w:val="14"/>
              <w:spacing w:line="360" w:lineRule="auto"/>
              <w:rPr>
                <w:rFonts w:hint="default" w:ascii="宋体" w:hAnsi="宋体" w:eastAsia="宋体" w:cs="宋体"/>
                <w:sz w:val="24"/>
                <w:szCs w:val="24"/>
              </w:rPr>
            </w:pPr>
            <w:r>
              <w:rPr>
                <w:rFonts w:ascii="宋体" w:hAnsi="宋体" w:cs="宋体"/>
                <w:sz w:val="24"/>
                <w:szCs w:val="24"/>
                <w:lang w:eastAsia="zh-CN"/>
              </w:rPr>
              <w:t>采购人</w:t>
            </w:r>
            <w:r>
              <w:rPr>
                <w:rFonts w:ascii="宋体" w:hAnsi="宋体" w:cs="宋体"/>
                <w:sz w:val="24"/>
                <w:szCs w:val="24"/>
              </w:rPr>
              <w:t>指定地点</w:t>
            </w:r>
          </w:p>
        </w:tc>
      </w:tr>
      <w:tr w14:paraId="3C4192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465A0A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187" w:type="dxa"/>
            <w:vAlign w:val="center"/>
          </w:tcPr>
          <w:p w14:paraId="34F06E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7CEAD2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交货条件</w:t>
            </w:r>
          </w:p>
        </w:tc>
        <w:tc>
          <w:tcPr>
            <w:tcW w:w="5737" w:type="dxa"/>
            <w:vAlign w:val="center"/>
          </w:tcPr>
          <w:p w14:paraId="206B6999">
            <w:pPr>
              <w:pStyle w:val="14"/>
              <w:spacing w:line="360" w:lineRule="auto"/>
              <w:rPr>
                <w:rFonts w:hint="default" w:ascii="宋体" w:hAnsi="宋体" w:eastAsia="宋体" w:cs="宋体"/>
                <w:sz w:val="24"/>
                <w:szCs w:val="24"/>
              </w:rPr>
            </w:pPr>
            <w:r>
              <w:rPr>
                <w:rFonts w:ascii="宋体" w:hAnsi="宋体" w:cs="宋体"/>
                <w:sz w:val="24"/>
                <w:szCs w:val="24"/>
              </w:rPr>
              <w:t>货到安装，验收合格</w:t>
            </w:r>
          </w:p>
        </w:tc>
      </w:tr>
      <w:tr w14:paraId="0A65C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4A748B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187" w:type="dxa"/>
            <w:vAlign w:val="center"/>
          </w:tcPr>
          <w:p w14:paraId="75AE52C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2C2782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737" w:type="dxa"/>
            <w:vAlign w:val="center"/>
          </w:tcPr>
          <w:p w14:paraId="22CC0BFB">
            <w:pPr>
              <w:pStyle w:val="14"/>
              <w:spacing w:line="360" w:lineRule="auto"/>
              <w:rPr>
                <w:rFonts w:hint="default" w:ascii="宋体" w:hAnsi="宋体" w:eastAsia="宋体" w:cs="宋体"/>
                <w:sz w:val="24"/>
                <w:szCs w:val="24"/>
              </w:rPr>
            </w:pPr>
            <w:r>
              <w:rPr>
                <w:rFonts w:ascii="宋体" w:hAnsi="宋体" w:cs="宋体"/>
                <w:sz w:val="24"/>
                <w:szCs w:val="24"/>
              </w:rPr>
              <w:t>不邀请投标人验收</w:t>
            </w:r>
          </w:p>
        </w:tc>
      </w:tr>
      <w:tr w14:paraId="02D47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A8E836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187" w:type="dxa"/>
            <w:vAlign w:val="center"/>
          </w:tcPr>
          <w:p w14:paraId="1179F39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3C2CBC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履约验收</w:t>
            </w:r>
          </w:p>
          <w:p w14:paraId="71AEFE4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1D2EEB97">
            <w:pPr>
              <w:pStyle w:val="14"/>
              <w:spacing w:line="360" w:lineRule="auto"/>
              <w:rPr>
                <w:rFonts w:hint="default" w:ascii="宋体" w:hAnsi="宋体" w:eastAsia="宋体" w:cs="宋体"/>
                <w:sz w:val="24"/>
                <w:szCs w:val="24"/>
              </w:rPr>
            </w:pPr>
            <w:r>
              <w:rPr>
                <w:rFonts w:ascii="宋体" w:hAnsi="宋体" w:cs="宋体"/>
                <w:sz w:val="24"/>
                <w:szCs w:val="24"/>
              </w:rPr>
              <w:t>1、期次1，说明：采购人自行组织项目验收。分为到货检验、安装调试检验、配套服务验收环节。验收时，按照采购合同的约定对每一项技术、服务、安全标准的履约情况进行确认。</w:t>
            </w:r>
          </w:p>
        </w:tc>
      </w:tr>
      <w:tr w14:paraId="2F6B70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404864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187" w:type="dxa"/>
            <w:vAlign w:val="center"/>
          </w:tcPr>
          <w:p w14:paraId="327B2AA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A98C71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合同支付</w:t>
            </w:r>
          </w:p>
          <w:p w14:paraId="5C7EEE8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0DDBBEBA">
            <w:pPr>
              <w:pStyle w:val="14"/>
              <w:spacing w:line="360" w:lineRule="auto"/>
              <w:rPr>
                <w:rFonts w:hint="default" w:ascii="宋体" w:hAnsi="宋体" w:cs="宋体"/>
                <w:sz w:val="24"/>
                <w:szCs w:val="24"/>
              </w:rPr>
            </w:pPr>
            <w:r>
              <w:rPr>
                <w:rFonts w:ascii="宋体" w:hAnsi="宋体" w:cs="宋体"/>
                <w:sz w:val="24"/>
                <w:szCs w:val="24"/>
              </w:rPr>
              <w:t>1、验收合格且收到合同全额增值税专用发票后，达到付款条件起</w:t>
            </w:r>
            <w:r>
              <w:rPr>
                <w:rFonts w:hint="default" w:ascii="宋体" w:hAnsi="宋体" w:cs="宋体"/>
                <w:sz w:val="24"/>
                <w:szCs w:val="24"/>
              </w:rPr>
              <w:t>30</w:t>
            </w:r>
            <w:r>
              <w:rPr>
                <w:rFonts w:ascii="宋体" w:hAnsi="宋体" w:cs="宋体"/>
                <w:sz w:val="24"/>
                <w:szCs w:val="24"/>
              </w:rPr>
              <w:t>日内，支付合同总金额的80.00%</w:t>
            </w:r>
          </w:p>
          <w:p w14:paraId="47DFC695">
            <w:pPr>
              <w:pStyle w:val="14"/>
              <w:spacing w:line="360" w:lineRule="auto"/>
              <w:rPr>
                <w:rFonts w:hint="default" w:ascii="宋体" w:hAnsi="宋体" w:eastAsia="宋体" w:cs="宋体"/>
                <w:sz w:val="24"/>
                <w:szCs w:val="24"/>
              </w:rPr>
            </w:pPr>
            <w:r>
              <w:rPr>
                <w:rFonts w:ascii="宋体" w:hAnsi="宋体" w:cs="宋体"/>
                <w:sz w:val="24"/>
                <w:szCs w:val="24"/>
              </w:rPr>
              <w:t>2、验收合格后正常使用三个月，达到付款条件起</w:t>
            </w:r>
            <w:r>
              <w:rPr>
                <w:rFonts w:hint="default" w:ascii="宋体" w:hAnsi="宋体" w:cs="宋体"/>
                <w:sz w:val="24"/>
                <w:szCs w:val="24"/>
              </w:rPr>
              <w:t>30</w:t>
            </w:r>
            <w:r>
              <w:rPr>
                <w:rFonts w:ascii="宋体" w:hAnsi="宋体" w:cs="宋体"/>
                <w:sz w:val="24"/>
                <w:szCs w:val="24"/>
              </w:rPr>
              <w:t>日内，支付合同总金额的20.00%</w:t>
            </w:r>
          </w:p>
        </w:tc>
      </w:tr>
      <w:tr w14:paraId="114DF8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23D861F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187" w:type="dxa"/>
            <w:vAlign w:val="center"/>
          </w:tcPr>
          <w:p w14:paraId="434789A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737BDD6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履约保证金</w:t>
            </w:r>
          </w:p>
        </w:tc>
        <w:tc>
          <w:tcPr>
            <w:tcW w:w="5737" w:type="dxa"/>
            <w:vAlign w:val="center"/>
          </w:tcPr>
          <w:p w14:paraId="61218FD0">
            <w:pPr>
              <w:pStyle w:val="14"/>
              <w:spacing w:line="360" w:lineRule="auto"/>
              <w:rPr>
                <w:rFonts w:hint="default" w:ascii="宋体" w:hAnsi="宋体" w:eastAsia="宋体" w:cs="宋体"/>
                <w:sz w:val="24"/>
                <w:szCs w:val="24"/>
              </w:rPr>
            </w:pPr>
            <w:r>
              <w:rPr>
                <w:rFonts w:ascii="宋体" w:hAnsi="宋体" w:cs="宋体"/>
                <w:sz w:val="24"/>
                <w:szCs w:val="24"/>
              </w:rPr>
              <w:t>不缴纳</w:t>
            </w:r>
          </w:p>
        </w:tc>
      </w:tr>
    </w:tbl>
    <w:p w14:paraId="18F6C6DA">
      <w:pPr>
        <w:pStyle w:val="14"/>
        <w:spacing w:line="360" w:lineRule="auto"/>
        <w:rPr>
          <w:rFonts w:hint="default" w:ascii="宋体" w:hAnsi="宋体" w:eastAsia="宋体" w:cs="宋体"/>
          <w:b/>
          <w:bCs/>
          <w:sz w:val="24"/>
          <w:szCs w:val="24"/>
        </w:rPr>
      </w:pPr>
    </w:p>
    <w:p w14:paraId="50C51EE8">
      <w:pPr>
        <w:pStyle w:val="14"/>
        <w:spacing w:line="360" w:lineRule="auto"/>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3</w:t>
      </w:r>
      <w:r>
        <w:rPr>
          <w:rFonts w:ascii="宋体" w:hAnsi="宋体" w:eastAsia="宋体" w:cs="宋体"/>
          <w:sz w:val="24"/>
          <w:szCs w:val="24"/>
        </w:rPr>
        <w:t>：</w:t>
      </w:r>
    </w:p>
    <w:tbl>
      <w:tblPr>
        <w:tblStyle w:val="11"/>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476A87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78631E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187" w:type="dxa"/>
            <w:vAlign w:val="center"/>
          </w:tcPr>
          <w:p w14:paraId="7370C4E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463" w:type="dxa"/>
            <w:vAlign w:val="center"/>
          </w:tcPr>
          <w:p w14:paraId="04A655A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5737" w:type="dxa"/>
            <w:vAlign w:val="center"/>
          </w:tcPr>
          <w:p w14:paraId="3292FCA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735DF3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DC894A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5C7747C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53DD6E5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交货时间</w:t>
            </w:r>
          </w:p>
        </w:tc>
        <w:tc>
          <w:tcPr>
            <w:tcW w:w="5737" w:type="dxa"/>
            <w:vAlign w:val="center"/>
          </w:tcPr>
          <w:p w14:paraId="5C7BA15E">
            <w:pPr>
              <w:pStyle w:val="14"/>
              <w:spacing w:line="360" w:lineRule="auto"/>
              <w:rPr>
                <w:rFonts w:hint="default" w:ascii="宋体" w:hAnsi="宋体" w:eastAsia="宋体" w:cs="宋体"/>
                <w:sz w:val="24"/>
                <w:szCs w:val="24"/>
              </w:rPr>
            </w:pPr>
            <w:r>
              <w:rPr>
                <w:rFonts w:ascii="宋体" w:hAnsi="宋体" w:cs="宋体"/>
                <w:sz w:val="24"/>
                <w:szCs w:val="24"/>
              </w:rPr>
              <w:t>自合同签订之日起</w:t>
            </w:r>
            <w:r>
              <w:rPr>
                <w:rFonts w:ascii="宋体" w:hAnsi="宋体" w:cs="宋体"/>
                <w:sz w:val="24"/>
                <w:szCs w:val="24"/>
                <w:lang w:eastAsia="zh-CN"/>
              </w:rPr>
              <w:t>90</w:t>
            </w:r>
            <w:r>
              <w:rPr>
                <w:rFonts w:ascii="宋体" w:hAnsi="宋体" w:cs="宋体"/>
                <w:sz w:val="24"/>
                <w:szCs w:val="24"/>
              </w:rPr>
              <w:t>日</w:t>
            </w:r>
          </w:p>
        </w:tc>
      </w:tr>
      <w:tr w14:paraId="2A780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25148D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187" w:type="dxa"/>
            <w:vAlign w:val="center"/>
          </w:tcPr>
          <w:p w14:paraId="4260B28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79AB070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交货地点</w:t>
            </w:r>
          </w:p>
        </w:tc>
        <w:tc>
          <w:tcPr>
            <w:tcW w:w="5737" w:type="dxa"/>
            <w:vAlign w:val="center"/>
          </w:tcPr>
          <w:p w14:paraId="0D265345">
            <w:pPr>
              <w:pStyle w:val="14"/>
              <w:spacing w:line="360" w:lineRule="auto"/>
              <w:rPr>
                <w:rFonts w:hint="default" w:ascii="宋体" w:hAnsi="宋体" w:eastAsia="宋体" w:cs="宋体"/>
                <w:sz w:val="24"/>
                <w:szCs w:val="24"/>
              </w:rPr>
            </w:pPr>
            <w:r>
              <w:rPr>
                <w:rFonts w:ascii="宋体" w:hAnsi="宋体" w:cs="宋体"/>
                <w:sz w:val="24"/>
                <w:szCs w:val="24"/>
                <w:lang w:eastAsia="zh-CN"/>
              </w:rPr>
              <w:t>采购人</w:t>
            </w:r>
            <w:r>
              <w:rPr>
                <w:rFonts w:ascii="宋体" w:hAnsi="宋体" w:cs="宋体"/>
                <w:sz w:val="24"/>
                <w:szCs w:val="24"/>
              </w:rPr>
              <w:t>指定地点</w:t>
            </w:r>
          </w:p>
        </w:tc>
      </w:tr>
      <w:tr w14:paraId="65AA7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75A965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187" w:type="dxa"/>
            <w:vAlign w:val="center"/>
          </w:tcPr>
          <w:p w14:paraId="7CD690F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D3AE10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交货条件</w:t>
            </w:r>
          </w:p>
        </w:tc>
        <w:tc>
          <w:tcPr>
            <w:tcW w:w="5737" w:type="dxa"/>
            <w:vAlign w:val="center"/>
          </w:tcPr>
          <w:p w14:paraId="5165A33E">
            <w:pPr>
              <w:pStyle w:val="14"/>
              <w:spacing w:line="360" w:lineRule="auto"/>
              <w:rPr>
                <w:rFonts w:hint="default" w:ascii="宋体" w:hAnsi="宋体" w:eastAsia="宋体" w:cs="宋体"/>
                <w:sz w:val="24"/>
                <w:szCs w:val="24"/>
              </w:rPr>
            </w:pPr>
            <w:r>
              <w:rPr>
                <w:rFonts w:ascii="宋体" w:hAnsi="宋体" w:cs="宋体"/>
                <w:sz w:val="24"/>
                <w:szCs w:val="24"/>
              </w:rPr>
              <w:t>货到安装，验收合格</w:t>
            </w:r>
          </w:p>
        </w:tc>
      </w:tr>
      <w:tr w14:paraId="79B8E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27B145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187" w:type="dxa"/>
            <w:vAlign w:val="center"/>
          </w:tcPr>
          <w:p w14:paraId="70FDEE6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0876389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737" w:type="dxa"/>
            <w:vAlign w:val="center"/>
          </w:tcPr>
          <w:p w14:paraId="27C88861">
            <w:pPr>
              <w:pStyle w:val="14"/>
              <w:spacing w:line="360" w:lineRule="auto"/>
              <w:rPr>
                <w:rFonts w:hint="default" w:ascii="宋体" w:hAnsi="宋体" w:eastAsia="宋体" w:cs="宋体"/>
                <w:sz w:val="24"/>
                <w:szCs w:val="24"/>
              </w:rPr>
            </w:pPr>
            <w:r>
              <w:rPr>
                <w:rFonts w:ascii="宋体" w:hAnsi="宋体" w:cs="宋体"/>
                <w:sz w:val="24"/>
                <w:szCs w:val="24"/>
              </w:rPr>
              <w:t>不邀请投标人验收</w:t>
            </w:r>
          </w:p>
        </w:tc>
      </w:tr>
      <w:tr w14:paraId="7FDB5C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18172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187" w:type="dxa"/>
            <w:vAlign w:val="center"/>
          </w:tcPr>
          <w:p w14:paraId="4D831BB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4E6A387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履约验收</w:t>
            </w:r>
          </w:p>
          <w:p w14:paraId="77D92D1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51A88856">
            <w:pPr>
              <w:pStyle w:val="14"/>
              <w:spacing w:line="360" w:lineRule="auto"/>
              <w:rPr>
                <w:rFonts w:hint="default" w:ascii="宋体" w:hAnsi="宋体" w:eastAsia="宋体" w:cs="宋体"/>
                <w:sz w:val="24"/>
                <w:szCs w:val="24"/>
              </w:rPr>
            </w:pPr>
            <w:r>
              <w:rPr>
                <w:rFonts w:ascii="宋体" w:hAnsi="宋体" w:cs="宋体"/>
                <w:sz w:val="24"/>
                <w:szCs w:val="24"/>
              </w:rPr>
              <w:t>1、期次1，说明：采购人自行组织项目验收。分为到货检验、安装调试检验、配套服务验收环节。验收时，按照采购合同的约定对每一项技术、服务、安全标准的履约情况进行确认。</w:t>
            </w:r>
          </w:p>
        </w:tc>
      </w:tr>
      <w:tr w14:paraId="4114F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ACF025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187" w:type="dxa"/>
            <w:vAlign w:val="center"/>
          </w:tcPr>
          <w:p w14:paraId="2461553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77C84A7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合同支付</w:t>
            </w:r>
          </w:p>
          <w:p w14:paraId="7144751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770C2D98">
            <w:pPr>
              <w:pStyle w:val="14"/>
              <w:spacing w:line="360" w:lineRule="auto"/>
              <w:rPr>
                <w:rFonts w:hint="default" w:ascii="宋体" w:hAnsi="宋体" w:cs="宋体"/>
                <w:sz w:val="24"/>
                <w:szCs w:val="24"/>
              </w:rPr>
            </w:pPr>
            <w:r>
              <w:rPr>
                <w:rFonts w:ascii="宋体" w:hAnsi="宋体" w:cs="宋体"/>
                <w:sz w:val="24"/>
                <w:szCs w:val="24"/>
              </w:rPr>
              <w:t>1、验收合格且收到合同全额增值税专用发票后，达到付款条件起</w:t>
            </w:r>
            <w:r>
              <w:rPr>
                <w:rFonts w:hint="default" w:ascii="宋体" w:hAnsi="宋体" w:cs="宋体"/>
                <w:sz w:val="24"/>
                <w:szCs w:val="24"/>
              </w:rPr>
              <w:t>30</w:t>
            </w:r>
            <w:r>
              <w:rPr>
                <w:rFonts w:ascii="宋体" w:hAnsi="宋体" w:cs="宋体"/>
                <w:sz w:val="24"/>
                <w:szCs w:val="24"/>
              </w:rPr>
              <w:t>日内，支付合同总金额的80.00%</w:t>
            </w:r>
          </w:p>
          <w:p w14:paraId="4D093799">
            <w:pPr>
              <w:pStyle w:val="14"/>
              <w:spacing w:line="360" w:lineRule="auto"/>
              <w:rPr>
                <w:rFonts w:hint="default" w:ascii="宋体" w:hAnsi="宋体" w:eastAsia="宋体" w:cs="宋体"/>
                <w:sz w:val="24"/>
                <w:szCs w:val="24"/>
              </w:rPr>
            </w:pPr>
            <w:r>
              <w:rPr>
                <w:rFonts w:ascii="宋体" w:hAnsi="宋体" w:cs="宋体"/>
                <w:sz w:val="24"/>
                <w:szCs w:val="24"/>
              </w:rPr>
              <w:t>2、验收合格后正常使用三个月，达到付款条件起</w:t>
            </w:r>
            <w:r>
              <w:rPr>
                <w:rFonts w:hint="default" w:ascii="宋体" w:hAnsi="宋体" w:cs="宋体"/>
                <w:sz w:val="24"/>
                <w:szCs w:val="24"/>
              </w:rPr>
              <w:t>30</w:t>
            </w:r>
            <w:r>
              <w:rPr>
                <w:rFonts w:ascii="宋体" w:hAnsi="宋体" w:cs="宋体"/>
                <w:sz w:val="24"/>
                <w:szCs w:val="24"/>
              </w:rPr>
              <w:t>日内，支付合同总金额的20.00%</w:t>
            </w:r>
          </w:p>
        </w:tc>
      </w:tr>
      <w:tr w14:paraId="0D8E7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737E52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187" w:type="dxa"/>
            <w:vAlign w:val="center"/>
          </w:tcPr>
          <w:p w14:paraId="2D529DD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4CEF093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履约保证金</w:t>
            </w:r>
          </w:p>
        </w:tc>
        <w:tc>
          <w:tcPr>
            <w:tcW w:w="5737" w:type="dxa"/>
            <w:vAlign w:val="center"/>
          </w:tcPr>
          <w:p w14:paraId="35EDE42C">
            <w:pPr>
              <w:pStyle w:val="14"/>
              <w:spacing w:line="360" w:lineRule="auto"/>
              <w:rPr>
                <w:rFonts w:hint="default" w:ascii="宋体" w:hAnsi="宋体" w:eastAsia="宋体" w:cs="宋体"/>
                <w:sz w:val="24"/>
                <w:szCs w:val="24"/>
              </w:rPr>
            </w:pPr>
            <w:r>
              <w:rPr>
                <w:rFonts w:ascii="宋体" w:hAnsi="宋体" w:cs="宋体"/>
                <w:sz w:val="24"/>
                <w:szCs w:val="24"/>
              </w:rPr>
              <w:t>不缴纳</w:t>
            </w:r>
          </w:p>
        </w:tc>
      </w:tr>
    </w:tbl>
    <w:p w14:paraId="681B41CA">
      <w:pPr>
        <w:pStyle w:val="14"/>
        <w:spacing w:line="360" w:lineRule="auto"/>
        <w:rPr>
          <w:rFonts w:hint="default" w:ascii="宋体" w:hAnsi="宋体" w:eastAsia="宋体" w:cs="宋体"/>
          <w:b/>
          <w:bCs/>
          <w:sz w:val="24"/>
          <w:szCs w:val="24"/>
        </w:rPr>
      </w:pPr>
    </w:p>
    <w:p w14:paraId="3C02E634">
      <w:pPr>
        <w:pStyle w:val="14"/>
        <w:spacing w:line="360" w:lineRule="auto"/>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4</w:t>
      </w:r>
      <w:r>
        <w:rPr>
          <w:rFonts w:ascii="宋体" w:hAnsi="宋体" w:eastAsia="宋体" w:cs="宋体"/>
          <w:sz w:val="24"/>
          <w:szCs w:val="24"/>
        </w:rPr>
        <w:t>：</w:t>
      </w:r>
    </w:p>
    <w:tbl>
      <w:tblPr>
        <w:tblStyle w:val="11"/>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38D27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67C0DC6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187" w:type="dxa"/>
            <w:vAlign w:val="center"/>
          </w:tcPr>
          <w:p w14:paraId="70143C1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463" w:type="dxa"/>
            <w:vAlign w:val="center"/>
          </w:tcPr>
          <w:p w14:paraId="3A55FB4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5737" w:type="dxa"/>
            <w:vAlign w:val="center"/>
          </w:tcPr>
          <w:p w14:paraId="368CEED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354174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E8AAE6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51E4C9A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56E92EE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交货时间</w:t>
            </w:r>
          </w:p>
        </w:tc>
        <w:tc>
          <w:tcPr>
            <w:tcW w:w="5737" w:type="dxa"/>
            <w:vAlign w:val="center"/>
          </w:tcPr>
          <w:p w14:paraId="13474F8C">
            <w:pPr>
              <w:pStyle w:val="14"/>
              <w:spacing w:line="360" w:lineRule="auto"/>
              <w:rPr>
                <w:rFonts w:hint="default" w:ascii="宋体" w:hAnsi="宋体" w:eastAsia="宋体" w:cs="宋体"/>
                <w:sz w:val="24"/>
                <w:szCs w:val="24"/>
              </w:rPr>
            </w:pPr>
            <w:r>
              <w:rPr>
                <w:rFonts w:ascii="宋体" w:hAnsi="宋体" w:cs="宋体"/>
                <w:sz w:val="24"/>
                <w:szCs w:val="24"/>
              </w:rPr>
              <w:t>自合同签订之日起</w:t>
            </w:r>
            <w:r>
              <w:rPr>
                <w:rFonts w:ascii="宋体" w:hAnsi="宋体" w:cs="宋体"/>
                <w:sz w:val="24"/>
                <w:szCs w:val="24"/>
                <w:lang w:eastAsia="zh-CN"/>
              </w:rPr>
              <w:t>90</w:t>
            </w:r>
            <w:r>
              <w:rPr>
                <w:rFonts w:ascii="宋体" w:hAnsi="宋体" w:cs="宋体"/>
                <w:sz w:val="24"/>
                <w:szCs w:val="24"/>
              </w:rPr>
              <w:t>日</w:t>
            </w:r>
          </w:p>
        </w:tc>
      </w:tr>
      <w:tr w14:paraId="73617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98AF48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187" w:type="dxa"/>
            <w:vAlign w:val="center"/>
          </w:tcPr>
          <w:p w14:paraId="3E0A80A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5EAD4E7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交货地点</w:t>
            </w:r>
          </w:p>
        </w:tc>
        <w:tc>
          <w:tcPr>
            <w:tcW w:w="5737" w:type="dxa"/>
            <w:vAlign w:val="center"/>
          </w:tcPr>
          <w:p w14:paraId="2340019D">
            <w:pPr>
              <w:pStyle w:val="14"/>
              <w:spacing w:line="360" w:lineRule="auto"/>
              <w:rPr>
                <w:rFonts w:hint="default" w:ascii="宋体" w:hAnsi="宋体" w:eastAsia="宋体" w:cs="宋体"/>
                <w:sz w:val="24"/>
                <w:szCs w:val="24"/>
              </w:rPr>
            </w:pPr>
            <w:r>
              <w:rPr>
                <w:rFonts w:ascii="宋体" w:hAnsi="宋体" w:cs="宋体"/>
                <w:sz w:val="24"/>
                <w:szCs w:val="24"/>
                <w:lang w:eastAsia="zh-CN"/>
              </w:rPr>
              <w:t>采购人</w:t>
            </w:r>
            <w:r>
              <w:rPr>
                <w:rFonts w:ascii="宋体" w:hAnsi="宋体" w:cs="宋体"/>
                <w:sz w:val="24"/>
                <w:szCs w:val="24"/>
              </w:rPr>
              <w:t>指定地点</w:t>
            </w:r>
          </w:p>
        </w:tc>
      </w:tr>
      <w:tr w14:paraId="6F471D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2C285D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187" w:type="dxa"/>
            <w:vAlign w:val="center"/>
          </w:tcPr>
          <w:p w14:paraId="01B9ECD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05B0CC6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交货条件</w:t>
            </w:r>
          </w:p>
        </w:tc>
        <w:tc>
          <w:tcPr>
            <w:tcW w:w="5737" w:type="dxa"/>
            <w:vAlign w:val="center"/>
          </w:tcPr>
          <w:p w14:paraId="6BF003AA">
            <w:pPr>
              <w:pStyle w:val="14"/>
              <w:spacing w:line="360" w:lineRule="auto"/>
              <w:rPr>
                <w:rFonts w:hint="default" w:ascii="宋体" w:hAnsi="宋体" w:eastAsia="宋体" w:cs="宋体"/>
                <w:sz w:val="24"/>
                <w:szCs w:val="24"/>
              </w:rPr>
            </w:pPr>
            <w:r>
              <w:rPr>
                <w:rFonts w:ascii="宋体" w:hAnsi="宋体" w:cs="宋体"/>
                <w:sz w:val="24"/>
                <w:szCs w:val="24"/>
              </w:rPr>
              <w:t>货到安装，验收合格</w:t>
            </w:r>
          </w:p>
        </w:tc>
      </w:tr>
      <w:tr w14:paraId="5F011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931DF7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187" w:type="dxa"/>
            <w:vAlign w:val="center"/>
          </w:tcPr>
          <w:p w14:paraId="530E8EA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69F55CE">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737" w:type="dxa"/>
            <w:vAlign w:val="center"/>
          </w:tcPr>
          <w:p w14:paraId="17C7D790">
            <w:pPr>
              <w:pStyle w:val="14"/>
              <w:spacing w:line="360" w:lineRule="auto"/>
              <w:rPr>
                <w:rFonts w:hint="default" w:ascii="宋体" w:hAnsi="宋体" w:eastAsia="宋体" w:cs="宋体"/>
                <w:sz w:val="24"/>
                <w:szCs w:val="24"/>
              </w:rPr>
            </w:pPr>
            <w:r>
              <w:rPr>
                <w:rFonts w:ascii="宋体" w:hAnsi="宋体" w:cs="宋体"/>
                <w:sz w:val="24"/>
                <w:szCs w:val="24"/>
              </w:rPr>
              <w:t>不邀请投标人验收</w:t>
            </w:r>
          </w:p>
        </w:tc>
      </w:tr>
      <w:tr w14:paraId="20116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46F7024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187" w:type="dxa"/>
            <w:vAlign w:val="center"/>
          </w:tcPr>
          <w:p w14:paraId="012C631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0D8036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履约验收</w:t>
            </w:r>
          </w:p>
          <w:p w14:paraId="205D078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68D63D3D">
            <w:pPr>
              <w:pStyle w:val="14"/>
              <w:spacing w:line="360" w:lineRule="auto"/>
              <w:rPr>
                <w:rFonts w:hint="default" w:ascii="宋体" w:hAnsi="宋体" w:eastAsia="宋体" w:cs="宋体"/>
                <w:sz w:val="24"/>
                <w:szCs w:val="24"/>
              </w:rPr>
            </w:pPr>
            <w:r>
              <w:rPr>
                <w:rFonts w:ascii="宋体" w:hAnsi="宋体" w:cs="宋体"/>
                <w:sz w:val="24"/>
                <w:szCs w:val="24"/>
              </w:rPr>
              <w:t>1、期次1，说明：采购人自行组织项目验收。分为到货检验、安装调试检验、配套服务验收环节。验收时，按照采购合同的约定对每一项技术、服务、安全标准的履约情况进行确认。</w:t>
            </w:r>
          </w:p>
        </w:tc>
      </w:tr>
      <w:tr w14:paraId="356C2D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22D402C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187" w:type="dxa"/>
            <w:vAlign w:val="center"/>
          </w:tcPr>
          <w:p w14:paraId="6C53EFD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700D7C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合同支付</w:t>
            </w:r>
          </w:p>
          <w:p w14:paraId="55D90EE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35A8063A">
            <w:pPr>
              <w:pStyle w:val="14"/>
              <w:spacing w:line="360" w:lineRule="auto"/>
              <w:rPr>
                <w:rFonts w:hint="default" w:ascii="宋体" w:hAnsi="宋体" w:cs="宋体"/>
                <w:sz w:val="24"/>
                <w:szCs w:val="24"/>
              </w:rPr>
            </w:pPr>
            <w:r>
              <w:rPr>
                <w:rFonts w:ascii="宋体" w:hAnsi="宋体" w:cs="宋体"/>
                <w:sz w:val="24"/>
                <w:szCs w:val="24"/>
              </w:rPr>
              <w:t>1、验收合格且收到合同全额增值税专用发票后，达到付款条件起</w:t>
            </w:r>
            <w:r>
              <w:rPr>
                <w:rFonts w:hint="default" w:ascii="宋体" w:hAnsi="宋体" w:cs="宋体"/>
                <w:sz w:val="24"/>
                <w:szCs w:val="24"/>
              </w:rPr>
              <w:t>30</w:t>
            </w:r>
            <w:r>
              <w:rPr>
                <w:rFonts w:ascii="宋体" w:hAnsi="宋体" w:cs="宋体"/>
                <w:sz w:val="24"/>
                <w:szCs w:val="24"/>
              </w:rPr>
              <w:t>日内，支付合同总金额的80.00%</w:t>
            </w:r>
          </w:p>
          <w:p w14:paraId="5EA6681F">
            <w:pPr>
              <w:pStyle w:val="14"/>
              <w:spacing w:line="360" w:lineRule="auto"/>
              <w:rPr>
                <w:rFonts w:hint="default" w:ascii="宋体" w:hAnsi="宋体" w:eastAsia="宋体" w:cs="宋体"/>
                <w:sz w:val="24"/>
                <w:szCs w:val="24"/>
              </w:rPr>
            </w:pPr>
            <w:r>
              <w:rPr>
                <w:rFonts w:ascii="宋体" w:hAnsi="宋体" w:cs="宋体"/>
                <w:sz w:val="24"/>
                <w:szCs w:val="24"/>
              </w:rPr>
              <w:t>2、验收合格后正常使用三个月，达到付款条件起</w:t>
            </w:r>
            <w:r>
              <w:rPr>
                <w:rFonts w:hint="default" w:ascii="宋体" w:hAnsi="宋体" w:cs="宋体"/>
                <w:sz w:val="24"/>
                <w:szCs w:val="24"/>
              </w:rPr>
              <w:t>30</w:t>
            </w:r>
            <w:r>
              <w:rPr>
                <w:rFonts w:ascii="宋体" w:hAnsi="宋体" w:cs="宋体"/>
                <w:sz w:val="24"/>
                <w:szCs w:val="24"/>
              </w:rPr>
              <w:t>日内，支付合同总金额的20.00%</w:t>
            </w:r>
          </w:p>
        </w:tc>
      </w:tr>
      <w:tr w14:paraId="0712A8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754975E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187" w:type="dxa"/>
            <w:vAlign w:val="center"/>
          </w:tcPr>
          <w:p w14:paraId="190FBA9D">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013C28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履约保证金</w:t>
            </w:r>
          </w:p>
        </w:tc>
        <w:tc>
          <w:tcPr>
            <w:tcW w:w="5737" w:type="dxa"/>
            <w:vAlign w:val="center"/>
          </w:tcPr>
          <w:p w14:paraId="46269A02">
            <w:pPr>
              <w:pStyle w:val="14"/>
              <w:spacing w:line="360" w:lineRule="auto"/>
              <w:rPr>
                <w:rFonts w:hint="default" w:ascii="宋体" w:hAnsi="宋体" w:eastAsia="宋体" w:cs="宋体"/>
                <w:sz w:val="24"/>
                <w:szCs w:val="24"/>
              </w:rPr>
            </w:pPr>
            <w:r>
              <w:rPr>
                <w:rFonts w:ascii="宋体" w:hAnsi="宋体" w:cs="宋体"/>
                <w:sz w:val="24"/>
                <w:szCs w:val="24"/>
              </w:rPr>
              <w:t>不缴纳</w:t>
            </w:r>
          </w:p>
        </w:tc>
      </w:tr>
    </w:tbl>
    <w:p w14:paraId="2792CCFE">
      <w:pPr>
        <w:pStyle w:val="14"/>
        <w:spacing w:line="360" w:lineRule="auto"/>
        <w:rPr>
          <w:rFonts w:hint="default" w:ascii="宋体" w:hAnsi="宋体" w:eastAsia="宋体" w:cs="宋体"/>
          <w:b/>
          <w:bCs/>
          <w:sz w:val="24"/>
          <w:szCs w:val="24"/>
        </w:rPr>
      </w:pPr>
    </w:p>
    <w:p w14:paraId="0B673CC3">
      <w:pPr>
        <w:pStyle w:val="14"/>
        <w:spacing w:line="360" w:lineRule="auto"/>
        <w:jc w:val="both"/>
        <w:rPr>
          <w:rFonts w:hint="default" w:ascii="宋体" w:hAnsi="宋体" w:eastAsia="宋体" w:cs="宋体"/>
          <w:sz w:val="24"/>
          <w:szCs w:val="24"/>
        </w:rPr>
      </w:pPr>
      <w:r>
        <w:rPr>
          <w:rFonts w:ascii="宋体" w:hAnsi="宋体" w:eastAsia="宋体" w:cs="宋体"/>
          <w:sz w:val="24"/>
          <w:szCs w:val="24"/>
        </w:rPr>
        <w:t>采购包</w:t>
      </w:r>
      <w:r>
        <w:rPr>
          <w:rFonts w:ascii="宋体" w:hAnsi="宋体" w:eastAsia="宋体" w:cs="宋体"/>
          <w:sz w:val="24"/>
          <w:szCs w:val="24"/>
          <w:lang w:eastAsia="zh-CN"/>
        </w:rPr>
        <w:t>5</w:t>
      </w:r>
      <w:r>
        <w:rPr>
          <w:rFonts w:ascii="宋体" w:hAnsi="宋体" w:eastAsia="宋体" w:cs="宋体"/>
          <w:sz w:val="24"/>
          <w:szCs w:val="24"/>
        </w:rPr>
        <w:t>：</w:t>
      </w:r>
    </w:p>
    <w:tbl>
      <w:tblPr>
        <w:tblStyle w:val="11"/>
        <w:tblW w:w="9212" w:type="dxa"/>
        <w:tblInd w:w="-82"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1187"/>
        <w:gridCol w:w="1463"/>
        <w:gridCol w:w="5737"/>
      </w:tblGrid>
      <w:tr w14:paraId="7EA67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3C15376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序号</w:t>
            </w:r>
          </w:p>
        </w:tc>
        <w:tc>
          <w:tcPr>
            <w:tcW w:w="1187" w:type="dxa"/>
            <w:vAlign w:val="center"/>
          </w:tcPr>
          <w:p w14:paraId="6677FB7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参数性质</w:t>
            </w:r>
          </w:p>
        </w:tc>
        <w:tc>
          <w:tcPr>
            <w:tcW w:w="1463" w:type="dxa"/>
            <w:vAlign w:val="center"/>
          </w:tcPr>
          <w:p w14:paraId="16BE811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类型</w:t>
            </w:r>
          </w:p>
        </w:tc>
        <w:tc>
          <w:tcPr>
            <w:tcW w:w="5737" w:type="dxa"/>
            <w:vAlign w:val="center"/>
          </w:tcPr>
          <w:p w14:paraId="5CC7B43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要求</w:t>
            </w:r>
          </w:p>
        </w:tc>
      </w:tr>
      <w:tr w14:paraId="071BDA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9F4BA8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1</w:t>
            </w:r>
          </w:p>
        </w:tc>
        <w:tc>
          <w:tcPr>
            <w:tcW w:w="1187" w:type="dxa"/>
            <w:vAlign w:val="center"/>
          </w:tcPr>
          <w:p w14:paraId="3BA9B7F0">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2AC15A77">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交货时间</w:t>
            </w:r>
          </w:p>
        </w:tc>
        <w:tc>
          <w:tcPr>
            <w:tcW w:w="5737" w:type="dxa"/>
            <w:vAlign w:val="center"/>
          </w:tcPr>
          <w:p w14:paraId="1B135B0A">
            <w:pPr>
              <w:pStyle w:val="14"/>
              <w:spacing w:line="360" w:lineRule="auto"/>
              <w:rPr>
                <w:rFonts w:hint="default" w:ascii="宋体" w:hAnsi="宋体" w:eastAsia="宋体" w:cs="宋体"/>
                <w:sz w:val="24"/>
                <w:szCs w:val="24"/>
              </w:rPr>
            </w:pPr>
            <w:r>
              <w:rPr>
                <w:rFonts w:ascii="宋体" w:hAnsi="宋体" w:cs="宋体"/>
                <w:sz w:val="24"/>
                <w:szCs w:val="24"/>
              </w:rPr>
              <w:t>自合同签订之日起</w:t>
            </w:r>
            <w:r>
              <w:rPr>
                <w:rFonts w:ascii="宋体" w:hAnsi="宋体" w:cs="宋体"/>
                <w:sz w:val="24"/>
                <w:szCs w:val="24"/>
                <w:lang w:eastAsia="zh-CN"/>
              </w:rPr>
              <w:t>120</w:t>
            </w:r>
            <w:r>
              <w:rPr>
                <w:rFonts w:ascii="宋体" w:hAnsi="宋体" w:cs="宋体"/>
                <w:sz w:val="24"/>
                <w:szCs w:val="24"/>
              </w:rPr>
              <w:t>日</w:t>
            </w:r>
          </w:p>
        </w:tc>
      </w:tr>
      <w:tr w14:paraId="07079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4711C1A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2</w:t>
            </w:r>
          </w:p>
        </w:tc>
        <w:tc>
          <w:tcPr>
            <w:tcW w:w="1187" w:type="dxa"/>
            <w:vAlign w:val="center"/>
          </w:tcPr>
          <w:p w14:paraId="051B390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6EFEA419">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交货地点</w:t>
            </w:r>
          </w:p>
        </w:tc>
        <w:tc>
          <w:tcPr>
            <w:tcW w:w="5737" w:type="dxa"/>
            <w:vAlign w:val="center"/>
          </w:tcPr>
          <w:p w14:paraId="7EE74596">
            <w:pPr>
              <w:pStyle w:val="14"/>
              <w:spacing w:line="360" w:lineRule="auto"/>
              <w:rPr>
                <w:rFonts w:hint="default" w:ascii="宋体" w:hAnsi="宋体" w:eastAsia="宋体" w:cs="宋体"/>
                <w:sz w:val="24"/>
                <w:szCs w:val="24"/>
              </w:rPr>
            </w:pPr>
            <w:r>
              <w:rPr>
                <w:rFonts w:ascii="宋体" w:hAnsi="宋体" w:cs="宋体"/>
                <w:sz w:val="24"/>
                <w:szCs w:val="24"/>
                <w:lang w:eastAsia="zh-CN"/>
              </w:rPr>
              <w:t>采购人</w:t>
            </w:r>
            <w:r>
              <w:rPr>
                <w:rFonts w:ascii="宋体" w:hAnsi="宋体" w:cs="宋体"/>
                <w:sz w:val="24"/>
                <w:szCs w:val="24"/>
              </w:rPr>
              <w:t>指定地点</w:t>
            </w:r>
          </w:p>
        </w:tc>
      </w:tr>
      <w:tr w14:paraId="37D708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16359846">
            <w:pPr>
              <w:pStyle w:val="14"/>
              <w:spacing w:line="360" w:lineRule="auto"/>
              <w:jc w:val="center"/>
              <w:rPr>
                <w:rFonts w:hint="default" w:ascii="宋体" w:hAnsi="宋体" w:eastAsia="宋体" w:cs="宋体"/>
                <w:sz w:val="24"/>
                <w:szCs w:val="24"/>
              </w:rPr>
            </w:pPr>
            <w:r>
              <w:rPr>
                <w:rFonts w:ascii="宋体" w:hAnsi="宋体" w:eastAsia="宋体" w:cs="宋体"/>
                <w:sz w:val="24"/>
                <w:szCs w:val="24"/>
              </w:rPr>
              <w:t>3</w:t>
            </w:r>
          </w:p>
        </w:tc>
        <w:tc>
          <w:tcPr>
            <w:tcW w:w="1187" w:type="dxa"/>
            <w:vAlign w:val="center"/>
          </w:tcPr>
          <w:p w14:paraId="53CF0EC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A0DFE6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交货条件</w:t>
            </w:r>
          </w:p>
        </w:tc>
        <w:tc>
          <w:tcPr>
            <w:tcW w:w="5737" w:type="dxa"/>
            <w:vAlign w:val="center"/>
          </w:tcPr>
          <w:p w14:paraId="5E1014D2">
            <w:pPr>
              <w:pStyle w:val="14"/>
              <w:spacing w:line="360" w:lineRule="auto"/>
              <w:rPr>
                <w:rFonts w:hint="default" w:ascii="宋体" w:hAnsi="宋体" w:eastAsia="宋体" w:cs="宋体"/>
                <w:sz w:val="24"/>
                <w:szCs w:val="24"/>
              </w:rPr>
            </w:pPr>
            <w:r>
              <w:rPr>
                <w:rFonts w:ascii="宋体" w:hAnsi="宋体" w:cs="宋体"/>
                <w:sz w:val="24"/>
                <w:szCs w:val="24"/>
              </w:rPr>
              <w:t>货到安装，验收合格</w:t>
            </w:r>
          </w:p>
        </w:tc>
      </w:tr>
      <w:tr w14:paraId="2CCAE5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6396A0C">
            <w:pPr>
              <w:pStyle w:val="14"/>
              <w:spacing w:line="360" w:lineRule="auto"/>
              <w:jc w:val="center"/>
              <w:rPr>
                <w:rFonts w:hint="default" w:ascii="宋体" w:hAnsi="宋体" w:eastAsia="宋体" w:cs="宋体"/>
                <w:sz w:val="24"/>
                <w:szCs w:val="24"/>
              </w:rPr>
            </w:pPr>
            <w:r>
              <w:rPr>
                <w:rFonts w:ascii="宋体" w:hAnsi="宋体" w:eastAsia="宋体" w:cs="宋体"/>
                <w:sz w:val="24"/>
                <w:szCs w:val="24"/>
              </w:rPr>
              <w:t>4</w:t>
            </w:r>
          </w:p>
        </w:tc>
        <w:tc>
          <w:tcPr>
            <w:tcW w:w="1187" w:type="dxa"/>
            <w:vAlign w:val="center"/>
          </w:tcPr>
          <w:p w14:paraId="20EEBA7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6812661">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是否邀请投标人验收</w:t>
            </w:r>
          </w:p>
        </w:tc>
        <w:tc>
          <w:tcPr>
            <w:tcW w:w="5737" w:type="dxa"/>
            <w:vAlign w:val="center"/>
          </w:tcPr>
          <w:p w14:paraId="58D52556">
            <w:pPr>
              <w:pStyle w:val="14"/>
              <w:spacing w:line="360" w:lineRule="auto"/>
              <w:rPr>
                <w:rFonts w:hint="default" w:ascii="宋体" w:hAnsi="宋体" w:eastAsia="宋体" w:cs="宋体"/>
                <w:sz w:val="24"/>
                <w:szCs w:val="24"/>
              </w:rPr>
            </w:pPr>
            <w:r>
              <w:rPr>
                <w:rFonts w:ascii="宋体" w:hAnsi="宋体" w:cs="宋体"/>
                <w:sz w:val="24"/>
                <w:szCs w:val="24"/>
              </w:rPr>
              <w:t>不邀请投标人验收</w:t>
            </w:r>
          </w:p>
        </w:tc>
      </w:tr>
      <w:tr w14:paraId="776316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5E84422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5</w:t>
            </w:r>
          </w:p>
        </w:tc>
        <w:tc>
          <w:tcPr>
            <w:tcW w:w="1187" w:type="dxa"/>
            <w:vAlign w:val="center"/>
          </w:tcPr>
          <w:p w14:paraId="22C6063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2AD0EBF8">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履约验收</w:t>
            </w:r>
          </w:p>
          <w:p w14:paraId="565D67A5">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5CA1DC69">
            <w:pPr>
              <w:pStyle w:val="14"/>
              <w:spacing w:line="360" w:lineRule="auto"/>
              <w:rPr>
                <w:rFonts w:hint="default" w:ascii="宋体" w:hAnsi="宋体" w:eastAsia="宋体" w:cs="宋体"/>
                <w:sz w:val="24"/>
                <w:szCs w:val="24"/>
              </w:rPr>
            </w:pPr>
            <w:r>
              <w:rPr>
                <w:rFonts w:ascii="宋体" w:hAnsi="宋体" w:cs="宋体"/>
                <w:sz w:val="24"/>
                <w:szCs w:val="24"/>
              </w:rPr>
              <w:t>1、期次1，说明：采购人自行组织项目验收。分为到货检验、安装调试检验、配套服务验收环节。验收时，按照采购合同的约定对每一项技术、服务、安全标准的履约情况进行确认。</w:t>
            </w:r>
          </w:p>
        </w:tc>
      </w:tr>
      <w:tr w14:paraId="25064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0193819B">
            <w:pPr>
              <w:pStyle w:val="14"/>
              <w:spacing w:line="360" w:lineRule="auto"/>
              <w:jc w:val="center"/>
              <w:rPr>
                <w:rFonts w:hint="default" w:ascii="宋体" w:hAnsi="宋体" w:eastAsia="宋体" w:cs="宋体"/>
                <w:sz w:val="24"/>
                <w:szCs w:val="24"/>
              </w:rPr>
            </w:pPr>
            <w:r>
              <w:rPr>
                <w:rFonts w:ascii="宋体" w:hAnsi="宋体" w:eastAsia="宋体" w:cs="宋体"/>
                <w:sz w:val="24"/>
                <w:szCs w:val="24"/>
              </w:rPr>
              <w:t>6</w:t>
            </w:r>
          </w:p>
        </w:tc>
        <w:tc>
          <w:tcPr>
            <w:tcW w:w="1187" w:type="dxa"/>
            <w:vAlign w:val="center"/>
          </w:tcPr>
          <w:p w14:paraId="7D69B17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3C343274">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合同支付</w:t>
            </w:r>
          </w:p>
          <w:p w14:paraId="6D08389F">
            <w:pPr>
              <w:pStyle w:val="14"/>
              <w:spacing w:line="360" w:lineRule="auto"/>
              <w:jc w:val="center"/>
              <w:rPr>
                <w:rFonts w:hint="default" w:ascii="宋体" w:hAnsi="宋体" w:eastAsia="宋体" w:cs="宋体"/>
                <w:sz w:val="24"/>
                <w:szCs w:val="24"/>
              </w:rPr>
            </w:pPr>
            <w:r>
              <w:rPr>
                <w:rFonts w:ascii="宋体" w:hAnsi="宋体" w:eastAsia="宋体" w:cs="宋体"/>
                <w:sz w:val="24"/>
                <w:szCs w:val="24"/>
              </w:rPr>
              <w:t>方式</w:t>
            </w:r>
          </w:p>
        </w:tc>
        <w:tc>
          <w:tcPr>
            <w:tcW w:w="5737" w:type="dxa"/>
            <w:vAlign w:val="center"/>
          </w:tcPr>
          <w:p w14:paraId="56832B71">
            <w:pPr>
              <w:pStyle w:val="14"/>
              <w:spacing w:line="360" w:lineRule="auto"/>
              <w:rPr>
                <w:rFonts w:hint="default" w:ascii="宋体" w:hAnsi="宋体" w:cs="宋体"/>
                <w:sz w:val="24"/>
                <w:szCs w:val="24"/>
              </w:rPr>
            </w:pPr>
            <w:r>
              <w:rPr>
                <w:rFonts w:ascii="宋体" w:hAnsi="宋体" w:cs="宋体"/>
                <w:sz w:val="24"/>
                <w:szCs w:val="24"/>
              </w:rPr>
              <w:t>1、验收合格且收到合同全额增值税专用发票后，达到付款条件起</w:t>
            </w:r>
            <w:r>
              <w:rPr>
                <w:rFonts w:hint="default" w:ascii="宋体" w:hAnsi="宋体" w:cs="宋体"/>
                <w:sz w:val="24"/>
                <w:szCs w:val="24"/>
              </w:rPr>
              <w:t>30</w:t>
            </w:r>
            <w:r>
              <w:rPr>
                <w:rFonts w:ascii="宋体" w:hAnsi="宋体" w:cs="宋体"/>
                <w:sz w:val="24"/>
                <w:szCs w:val="24"/>
              </w:rPr>
              <w:t>日内，支付合同总金额的80.00%</w:t>
            </w:r>
          </w:p>
          <w:p w14:paraId="4803972F">
            <w:pPr>
              <w:pStyle w:val="14"/>
              <w:spacing w:line="360" w:lineRule="auto"/>
              <w:rPr>
                <w:rFonts w:hint="default" w:ascii="宋体" w:hAnsi="宋体" w:eastAsia="宋体" w:cs="宋体"/>
                <w:sz w:val="24"/>
                <w:szCs w:val="24"/>
              </w:rPr>
            </w:pPr>
            <w:r>
              <w:rPr>
                <w:rFonts w:ascii="宋体" w:hAnsi="宋体" w:cs="宋体"/>
                <w:sz w:val="24"/>
                <w:szCs w:val="24"/>
              </w:rPr>
              <w:t>2、验收合格后正常使用三个月，达到付款条件起</w:t>
            </w:r>
            <w:r>
              <w:rPr>
                <w:rFonts w:hint="default" w:ascii="宋体" w:hAnsi="宋体" w:cs="宋体"/>
                <w:sz w:val="24"/>
                <w:szCs w:val="24"/>
              </w:rPr>
              <w:t>30</w:t>
            </w:r>
            <w:r>
              <w:rPr>
                <w:rFonts w:ascii="宋体" w:hAnsi="宋体" w:cs="宋体"/>
                <w:sz w:val="24"/>
                <w:szCs w:val="24"/>
              </w:rPr>
              <w:t>日内，支付合同总金额的20.00%</w:t>
            </w:r>
          </w:p>
        </w:tc>
      </w:tr>
      <w:tr w14:paraId="21FEA5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25" w:type="dxa"/>
            <w:vAlign w:val="center"/>
          </w:tcPr>
          <w:p w14:paraId="40EB0DE3">
            <w:pPr>
              <w:pStyle w:val="14"/>
              <w:spacing w:line="360" w:lineRule="auto"/>
              <w:jc w:val="center"/>
              <w:rPr>
                <w:rFonts w:hint="default" w:ascii="宋体" w:hAnsi="宋体" w:eastAsia="宋体" w:cs="宋体"/>
                <w:sz w:val="24"/>
                <w:szCs w:val="24"/>
              </w:rPr>
            </w:pPr>
            <w:r>
              <w:rPr>
                <w:rFonts w:ascii="宋体" w:hAnsi="宋体" w:eastAsia="宋体" w:cs="宋体"/>
                <w:sz w:val="24"/>
                <w:szCs w:val="24"/>
              </w:rPr>
              <w:t>7</w:t>
            </w:r>
          </w:p>
        </w:tc>
        <w:tc>
          <w:tcPr>
            <w:tcW w:w="1187" w:type="dxa"/>
            <w:vAlign w:val="center"/>
          </w:tcPr>
          <w:p w14:paraId="2582A49A">
            <w:pPr>
              <w:pStyle w:val="14"/>
              <w:spacing w:line="360" w:lineRule="auto"/>
              <w:jc w:val="center"/>
              <w:rPr>
                <w:rFonts w:hint="default" w:ascii="宋体" w:hAnsi="宋体" w:eastAsia="宋体" w:cs="宋体"/>
                <w:sz w:val="24"/>
                <w:szCs w:val="24"/>
              </w:rPr>
            </w:pPr>
            <w:r>
              <w:rPr>
                <w:rFonts w:ascii="宋体" w:hAnsi="宋体" w:eastAsia="宋体" w:cs="宋体"/>
                <w:sz w:val="24"/>
                <w:szCs w:val="24"/>
              </w:rPr>
              <w:t>★</w:t>
            </w:r>
          </w:p>
        </w:tc>
        <w:tc>
          <w:tcPr>
            <w:tcW w:w="1463" w:type="dxa"/>
            <w:vAlign w:val="center"/>
          </w:tcPr>
          <w:p w14:paraId="17678962">
            <w:pPr>
              <w:pStyle w:val="14"/>
              <w:spacing w:line="360" w:lineRule="auto"/>
              <w:jc w:val="center"/>
              <w:rPr>
                <w:rFonts w:hint="default" w:ascii="宋体" w:hAnsi="宋体" w:eastAsia="宋体" w:cs="宋体"/>
                <w:sz w:val="24"/>
                <w:szCs w:val="24"/>
              </w:rPr>
            </w:pPr>
            <w:r>
              <w:rPr>
                <w:rFonts w:ascii="宋体" w:hAnsi="宋体" w:eastAsia="宋体" w:cs="宋体"/>
                <w:sz w:val="24"/>
                <w:szCs w:val="24"/>
              </w:rPr>
              <w:t>履约保证金</w:t>
            </w:r>
          </w:p>
        </w:tc>
        <w:tc>
          <w:tcPr>
            <w:tcW w:w="5737" w:type="dxa"/>
            <w:vAlign w:val="center"/>
          </w:tcPr>
          <w:p w14:paraId="5EF11956">
            <w:pPr>
              <w:pStyle w:val="14"/>
              <w:spacing w:line="360" w:lineRule="auto"/>
              <w:rPr>
                <w:rFonts w:hint="default" w:ascii="宋体" w:hAnsi="宋体" w:eastAsia="宋体" w:cs="宋体"/>
                <w:sz w:val="24"/>
                <w:szCs w:val="24"/>
              </w:rPr>
            </w:pPr>
            <w:r>
              <w:rPr>
                <w:rFonts w:ascii="宋体" w:hAnsi="宋体" w:cs="宋体"/>
                <w:sz w:val="24"/>
                <w:szCs w:val="24"/>
              </w:rPr>
              <w:t>不缴纳</w:t>
            </w:r>
          </w:p>
        </w:tc>
      </w:tr>
    </w:tbl>
    <w:p w14:paraId="4F4690F6">
      <w:pPr>
        <w:pStyle w:val="14"/>
        <w:spacing w:line="360" w:lineRule="auto"/>
        <w:rPr>
          <w:rFonts w:hint="default" w:ascii="宋体" w:hAnsi="宋体" w:eastAsia="宋体" w:cs="宋体"/>
          <w:b/>
          <w:bCs/>
          <w:sz w:val="24"/>
          <w:szCs w:val="24"/>
        </w:rPr>
      </w:pPr>
    </w:p>
    <w:p w14:paraId="351FB37A">
      <w:pPr>
        <w:pStyle w:val="14"/>
        <w:spacing w:line="360" w:lineRule="auto"/>
        <w:rPr>
          <w:rFonts w:hint="default" w:ascii="宋体" w:hAnsi="宋体" w:eastAsia="宋体" w:cs="宋体"/>
          <w:b/>
          <w:bCs/>
          <w:sz w:val="24"/>
          <w:szCs w:val="24"/>
        </w:rPr>
      </w:pPr>
    </w:p>
    <w:p w14:paraId="03F46397">
      <w:pPr>
        <w:pStyle w:val="14"/>
        <w:spacing w:line="360" w:lineRule="auto"/>
        <w:rPr>
          <w:rFonts w:hint="default" w:ascii="宋体" w:hAnsi="宋体" w:eastAsia="宋体" w:cs="宋体"/>
          <w:b/>
          <w:bCs/>
          <w:sz w:val="24"/>
          <w:szCs w:val="24"/>
          <w:lang w:eastAsia="zh-CN"/>
        </w:rPr>
      </w:pPr>
      <w:r>
        <w:rPr>
          <w:rFonts w:ascii="宋体" w:hAnsi="宋体" w:eastAsia="宋体" w:cs="宋体"/>
          <w:b/>
          <w:bCs/>
          <w:sz w:val="24"/>
          <w:szCs w:val="24"/>
        </w:rPr>
        <w:t>其他商务要求</w:t>
      </w:r>
      <w:r>
        <w:rPr>
          <w:rFonts w:ascii="宋体" w:hAnsi="宋体" w:eastAsia="宋体" w:cs="宋体"/>
          <w:b/>
          <w:bCs/>
          <w:sz w:val="24"/>
          <w:szCs w:val="24"/>
          <w:lang w:eastAsia="zh-CN"/>
        </w:rPr>
        <w:t>（适用于采购包1、采购包2、采购包3、采购包4、采购包5）</w:t>
      </w:r>
    </w:p>
    <w:p w14:paraId="248D02D3">
      <w:pPr>
        <w:pStyle w:val="14"/>
        <w:spacing w:line="360" w:lineRule="auto"/>
        <w:rPr>
          <w:rFonts w:hint="default" w:ascii="宋体" w:hAnsi="宋体" w:eastAsia="宋体" w:cs="宋体"/>
          <w:b/>
          <w:bCs/>
          <w:sz w:val="24"/>
          <w:szCs w:val="24"/>
          <w:u w:val="single"/>
        </w:rPr>
      </w:pPr>
      <w:r>
        <w:rPr>
          <w:rFonts w:ascii="宋体" w:hAnsi="宋体" w:eastAsia="宋体" w:cs="宋体"/>
          <w:b/>
          <w:bCs/>
          <w:sz w:val="24"/>
          <w:szCs w:val="24"/>
          <w:u w:val="single"/>
        </w:rPr>
        <w:t>以下商务要求均为“★”标示的内容，为不允许负偏离的实质性要求。</w:t>
      </w:r>
    </w:p>
    <w:p w14:paraId="336662CB">
      <w:pPr>
        <w:pStyle w:val="14"/>
        <w:spacing w:line="360" w:lineRule="auto"/>
        <w:ind w:firstLine="480"/>
        <w:rPr>
          <w:rFonts w:hint="default"/>
        </w:rPr>
      </w:pPr>
      <w:r>
        <w:rPr>
          <w:rFonts w:ascii="宋体" w:hAnsi="宋体" w:cs="宋体"/>
          <w:color w:val="000000"/>
          <w:sz w:val="24"/>
        </w:rPr>
        <w:t>8.货物包装方式</w:t>
      </w:r>
    </w:p>
    <w:p w14:paraId="1703BB96">
      <w:pPr>
        <w:pStyle w:val="14"/>
        <w:spacing w:line="360" w:lineRule="auto"/>
        <w:ind w:firstLine="480"/>
        <w:jc w:val="both"/>
        <w:rPr>
          <w:rFonts w:hint="default"/>
        </w:rPr>
      </w:pPr>
      <w:r>
        <w:rPr>
          <w:rFonts w:ascii="宋体" w:hAnsi="宋体" w:cs="宋体"/>
          <w:color w:val="000000"/>
          <w:sz w:val="24"/>
        </w:rPr>
        <w:t>8.1包装：货物交货时应按国家有关标准要求进行包装。</w:t>
      </w:r>
    </w:p>
    <w:p w14:paraId="3DB1D7E8">
      <w:pPr>
        <w:pStyle w:val="14"/>
        <w:spacing w:line="360" w:lineRule="auto"/>
        <w:ind w:firstLine="480"/>
        <w:jc w:val="both"/>
        <w:rPr>
          <w:rFonts w:hint="default"/>
        </w:rPr>
      </w:pPr>
      <w:r>
        <w:rPr>
          <w:rFonts w:ascii="宋体" w:hAnsi="宋体" w:cs="宋体"/>
          <w:color w:val="000000"/>
          <w:sz w:val="24"/>
        </w:rPr>
        <w:t>8.2方式：包装必须与运输方式相适应，包装方式的确定及包装费用均由中标人负责；由于不适当的包装而造成货物在运输过程中有任何损坏由中标人负责。</w:t>
      </w:r>
    </w:p>
    <w:p w14:paraId="70225AF0">
      <w:pPr>
        <w:pStyle w:val="14"/>
        <w:spacing w:line="360" w:lineRule="auto"/>
        <w:ind w:firstLine="480"/>
        <w:jc w:val="both"/>
        <w:rPr>
          <w:rFonts w:hint="default"/>
        </w:rPr>
      </w:pPr>
      <w:r>
        <w:rPr>
          <w:rFonts w:ascii="宋体" w:hAnsi="宋体" w:cs="宋体"/>
          <w:color w:val="000000"/>
          <w:sz w:val="24"/>
        </w:rPr>
        <w:t>注：包装应足以承受整个过程中的运输、转运、装卸、储存等，充分考虑到运输途中的各种情况(如暴露于恶劣气候等)和项目所在地的气候特点，以及露天存放的需要。</w:t>
      </w:r>
    </w:p>
    <w:p w14:paraId="404B0408">
      <w:pPr>
        <w:pStyle w:val="14"/>
        <w:spacing w:line="360" w:lineRule="auto"/>
        <w:ind w:firstLine="480"/>
        <w:jc w:val="both"/>
        <w:rPr>
          <w:rFonts w:hint="default"/>
        </w:rPr>
      </w:pPr>
      <w:r>
        <w:rPr>
          <w:rFonts w:ascii="宋体" w:hAnsi="宋体" w:cs="宋体"/>
          <w:color w:val="000000"/>
          <w:sz w:val="24"/>
        </w:rPr>
        <w:t>9.安装、调试</w:t>
      </w:r>
    </w:p>
    <w:p w14:paraId="4E35FDD3">
      <w:pPr>
        <w:pStyle w:val="14"/>
        <w:spacing w:line="360" w:lineRule="auto"/>
        <w:ind w:firstLine="480"/>
        <w:jc w:val="both"/>
        <w:rPr>
          <w:rFonts w:hint="default"/>
        </w:rPr>
      </w:pPr>
      <w:r>
        <w:rPr>
          <w:rFonts w:ascii="宋体" w:hAnsi="宋体" w:cs="宋体"/>
          <w:color w:val="000000"/>
          <w:sz w:val="24"/>
        </w:rPr>
        <w:t>9.1中标人应在签订合同时，向采购人提供安装、调试的进度计划表，中标人应协助我单位进行安装前的准备工作，提供实验室建设安装资料并作相应的指导。</w:t>
      </w:r>
    </w:p>
    <w:p w14:paraId="3E0601D9">
      <w:pPr>
        <w:pStyle w:val="14"/>
        <w:spacing w:line="360" w:lineRule="auto"/>
        <w:ind w:firstLine="480"/>
        <w:jc w:val="both"/>
        <w:rPr>
          <w:rFonts w:hint="default"/>
        </w:rPr>
      </w:pPr>
      <w:r>
        <w:rPr>
          <w:rFonts w:ascii="宋体" w:hAnsi="宋体" w:cs="宋体"/>
          <w:color w:val="000000"/>
          <w:sz w:val="24"/>
        </w:rPr>
        <w:t>9.2合同签订后，由中标人负责将合同规定的设备数量送到安装地点，设备通过采购人确认后，由中标人指派的技术人员到现场进行安装。</w:t>
      </w:r>
    </w:p>
    <w:p w14:paraId="6ECBB416">
      <w:pPr>
        <w:pStyle w:val="14"/>
        <w:spacing w:line="360" w:lineRule="auto"/>
        <w:ind w:firstLine="480"/>
        <w:jc w:val="both"/>
        <w:rPr>
          <w:rFonts w:hint="default"/>
        </w:rPr>
      </w:pPr>
      <w:r>
        <w:rPr>
          <w:rFonts w:ascii="宋体" w:hAnsi="宋体" w:cs="宋体"/>
          <w:color w:val="000000"/>
          <w:sz w:val="24"/>
        </w:rPr>
        <w:t>9.3中标人负责组织专业技术人员进行设备调试，并向采购人安排的工作人员介绍设备功能。</w:t>
      </w:r>
    </w:p>
    <w:p w14:paraId="598138ED">
      <w:pPr>
        <w:pStyle w:val="14"/>
        <w:spacing w:line="360" w:lineRule="auto"/>
        <w:ind w:firstLine="480"/>
        <w:jc w:val="both"/>
        <w:rPr>
          <w:rFonts w:hint="default"/>
        </w:rPr>
      </w:pPr>
      <w:r>
        <w:rPr>
          <w:rFonts w:ascii="宋体" w:hAnsi="宋体" w:cs="宋体"/>
          <w:color w:val="000000"/>
          <w:sz w:val="24"/>
        </w:rPr>
        <w:t>9.4设备安装、调试的完工期须按照合同的规定执行。</w:t>
      </w:r>
    </w:p>
    <w:p w14:paraId="199735A9">
      <w:pPr>
        <w:pStyle w:val="14"/>
        <w:spacing w:line="360" w:lineRule="auto"/>
        <w:ind w:firstLine="480"/>
        <w:jc w:val="both"/>
        <w:rPr>
          <w:rFonts w:hint="default"/>
        </w:rPr>
      </w:pPr>
      <w:r>
        <w:rPr>
          <w:rFonts w:ascii="宋体" w:hAnsi="宋体" w:cs="宋体"/>
          <w:color w:val="000000"/>
          <w:sz w:val="24"/>
        </w:rPr>
        <w:t>10.检验标准和方法</w:t>
      </w:r>
    </w:p>
    <w:p w14:paraId="221F6234">
      <w:pPr>
        <w:pStyle w:val="14"/>
        <w:spacing w:line="360" w:lineRule="auto"/>
        <w:ind w:firstLine="480"/>
        <w:jc w:val="both"/>
        <w:rPr>
          <w:rFonts w:hint="default"/>
        </w:rPr>
      </w:pPr>
      <w:r>
        <w:rPr>
          <w:rFonts w:ascii="宋体" w:hAnsi="宋体" w:cs="宋体"/>
          <w:color w:val="000000"/>
          <w:sz w:val="24"/>
        </w:rPr>
        <w:t>10.1验</w:t>
      </w:r>
      <w:r>
        <w:rPr>
          <w:rFonts w:ascii="宋体" w:hAnsi="宋体" w:cs="宋体"/>
          <w:color w:val="auto"/>
          <w:sz w:val="24"/>
        </w:rPr>
        <w:t>收标准：货物按生产厂家的产品验收标准、合同中的相关条款进行验收。所有设备必须是原装包装。若发现原包装破损或保修条款不满足要求，采购人有权不予接收，并要求中标人无条件重新更换（</w:t>
      </w:r>
      <w:r>
        <w:rPr>
          <w:rFonts w:ascii="宋体" w:hAnsi="宋体" w:cs="宋体"/>
          <w:color w:val="auto"/>
          <w:sz w:val="24"/>
          <w:lang w:eastAsia="zh-CN"/>
        </w:rPr>
        <w:t>费用</w:t>
      </w:r>
      <w:r>
        <w:rPr>
          <w:rFonts w:ascii="宋体" w:hAnsi="宋体" w:cs="宋体"/>
          <w:color w:val="auto"/>
          <w:sz w:val="24"/>
        </w:rPr>
        <w:t>包含在投标报价中），</w:t>
      </w:r>
      <w:r>
        <w:rPr>
          <w:rFonts w:ascii="宋体" w:hAnsi="宋体" w:cs="宋体"/>
          <w:color w:val="000000"/>
          <w:sz w:val="24"/>
        </w:rPr>
        <w:t>并按合同条款的有关规定执行。</w:t>
      </w:r>
    </w:p>
    <w:p w14:paraId="3E90B541">
      <w:pPr>
        <w:pStyle w:val="14"/>
        <w:spacing w:line="360" w:lineRule="auto"/>
        <w:ind w:firstLine="480"/>
        <w:jc w:val="both"/>
        <w:rPr>
          <w:rFonts w:hint="default"/>
        </w:rPr>
      </w:pPr>
      <w:r>
        <w:rPr>
          <w:rFonts w:ascii="宋体" w:hAnsi="宋体" w:cs="宋体"/>
          <w:color w:val="000000"/>
          <w:sz w:val="24"/>
        </w:rPr>
        <w:t>10.2出厂检验：中标人负责所提供货物的出厂检验，应按货物技术标准规定的检验项目和检验方法进行全面检验，保证货物原厂地和技术指标的真实性、完整性，并负责将货物送达采购人指定的供货地点。</w:t>
      </w:r>
    </w:p>
    <w:p w14:paraId="34A017FF">
      <w:pPr>
        <w:pStyle w:val="14"/>
        <w:spacing w:line="360" w:lineRule="auto"/>
        <w:ind w:firstLine="480"/>
        <w:jc w:val="both"/>
        <w:rPr>
          <w:rFonts w:hint="default"/>
        </w:rPr>
      </w:pPr>
      <w:r>
        <w:rPr>
          <w:rFonts w:ascii="宋体" w:hAnsi="宋体" w:cs="宋体"/>
          <w:color w:val="000000"/>
          <w:sz w:val="24"/>
        </w:rPr>
        <w:t>10.3到货验收：货物送至采购人安装现场后，中标人和采购人一同拆箱，对其全部货物、零件、配件的型号、规格、数量、外型、外观、包装进行到货验收。中标人应负责在项目验收时将系统的全部有关技术文件、资料及安装、测试报告等文档汇集成册交付项目单位。</w:t>
      </w:r>
    </w:p>
    <w:p w14:paraId="063A5BFC">
      <w:pPr>
        <w:pStyle w:val="14"/>
        <w:spacing w:line="360" w:lineRule="auto"/>
        <w:ind w:firstLine="480"/>
        <w:jc w:val="both"/>
        <w:rPr>
          <w:rFonts w:hint="default"/>
        </w:rPr>
      </w:pPr>
      <w:r>
        <w:rPr>
          <w:rFonts w:ascii="宋体" w:hAnsi="宋体" w:cs="宋体"/>
          <w:color w:val="000000"/>
          <w:sz w:val="24"/>
        </w:rPr>
        <w:t>10.4其他验收要求</w:t>
      </w:r>
    </w:p>
    <w:p w14:paraId="56E5D7C6">
      <w:pPr>
        <w:pStyle w:val="14"/>
        <w:spacing w:line="360" w:lineRule="auto"/>
        <w:ind w:firstLine="482"/>
        <w:jc w:val="both"/>
        <w:rPr>
          <w:rFonts w:hint="default"/>
        </w:rPr>
      </w:pPr>
      <w:r>
        <w:rPr>
          <w:rFonts w:ascii="宋体" w:hAnsi="宋体" w:cs="宋体"/>
          <w:color w:val="000000"/>
          <w:sz w:val="24"/>
        </w:rPr>
        <w:t>仪器到达最终采购人现场并且实验室条件合格后，在接到采购人通知后，中标人需安排有经验的工程技术人员到用户现场安装、调试仪器，按验收指标逐项测试，直至达到验收要求。</w:t>
      </w:r>
    </w:p>
    <w:p w14:paraId="7307E92B">
      <w:pPr>
        <w:pStyle w:val="14"/>
        <w:spacing w:line="360" w:lineRule="auto"/>
        <w:ind w:firstLine="480"/>
        <w:jc w:val="both"/>
        <w:rPr>
          <w:rFonts w:hint="default" w:ascii="宋体" w:hAnsi="宋体" w:cs="宋体"/>
          <w:color w:val="000000"/>
          <w:sz w:val="24"/>
        </w:rPr>
      </w:pPr>
      <w:r>
        <w:rPr>
          <w:rFonts w:ascii="宋体" w:hAnsi="宋体" w:cs="宋体"/>
          <w:color w:val="000000"/>
          <w:sz w:val="24"/>
        </w:rPr>
        <w:t>10.5最终验收</w:t>
      </w:r>
    </w:p>
    <w:p w14:paraId="32FB4029">
      <w:pPr>
        <w:pStyle w:val="14"/>
        <w:spacing w:line="360" w:lineRule="auto"/>
        <w:ind w:firstLine="480"/>
        <w:rPr>
          <w:rFonts w:hint="default"/>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设备计量机构由采购人指定，设备计量费用由中标人承担；设备第一次计量不合格的，中标人应在两个月内完成调试并完成重新计量，如设备两次计量不合格，采购人有权终止合同并作退货处理。</w:t>
      </w:r>
    </w:p>
    <w:p w14:paraId="50C35EEE">
      <w:pPr>
        <w:pStyle w:val="14"/>
        <w:spacing w:line="360" w:lineRule="auto"/>
        <w:ind w:firstLine="482"/>
        <w:jc w:val="both"/>
        <w:rPr>
          <w:rFonts w:hint="default" w:ascii="宋体" w:hAnsi="宋体" w:cs="宋体"/>
          <w:color w:val="000000"/>
          <w:sz w:val="24"/>
        </w:rPr>
      </w:pPr>
      <w:r>
        <w:rPr>
          <w:rFonts w:ascii="宋体" w:hAnsi="宋体" w:cs="宋体"/>
          <w:color w:val="000000"/>
          <w:sz w:val="24"/>
        </w:rPr>
        <w:t>采购人将按照政府采购合同规定的技术、服务、安全标准组织对供应商履约情况进行验收。验收过程中，若发现货物质量有问题中标人应无条件免费更换，并无条件重新检测并调试直至验收合格交付使用。在此期间，中标人在采购人现场进行安装、调试、集成、试运行直至验收所发生的一切费用由中标人承担且已含在投标总价中。</w:t>
      </w:r>
    </w:p>
    <w:p w14:paraId="677FE99C">
      <w:pPr>
        <w:pStyle w:val="14"/>
        <w:spacing w:line="360" w:lineRule="auto"/>
        <w:ind w:firstLine="480"/>
        <w:jc w:val="both"/>
        <w:rPr>
          <w:rFonts w:hint="default"/>
        </w:rPr>
      </w:pPr>
      <w:r>
        <w:rPr>
          <w:rFonts w:ascii="宋体" w:hAnsi="宋体" w:cs="宋体"/>
          <w:color w:val="000000"/>
          <w:sz w:val="24"/>
        </w:rPr>
        <w:t>11.技术培训及技术资料要求</w:t>
      </w:r>
    </w:p>
    <w:p w14:paraId="1EF700DD">
      <w:pPr>
        <w:pStyle w:val="14"/>
        <w:spacing w:line="360" w:lineRule="auto"/>
        <w:ind w:firstLine="480"/>
        <w:jc w:val="both"/>
        <w:rPr>
          <w:rFonts w:hint="default"/>
        </w:rPr>
      </w:pPr>
      <w:r>
        <w:rPr>
          <w:rFonts w:ascii="宋体" w:hAnsi="宋体" w:cs="宋体"/>
          <w:color w:val="000000"/>
          <w:sz w:val="24"/>
        </w:rPr>
        <w:t>11.1设备的安装调试及培训:中标人负责派技术人员来现场进行安装调试，并负责现场人员技术培训。</w:t>
      </w:r>
    </w:p>
    <w:p w14:paraId="79BC0EFD">
      <w:pPr>
        <w:pStyle w:val="14"/>
        <w:spacing w:line="360" w:lineRule="auto"/>
        <w:ind w:firstLine="480"/>
        <w:jc w:val="both"/>
        <w:rPr>
          <w:rFonts w:hint="default" w:ascii="宋体" w:hAnsi="宋体" w:cs="宋体"/>
          <w:color w:val="000000"/>
          <w:sz w:val="24"/>
        </w:rPr>
      </w:pPr>
      <w:r>
        <w:rPr>
          <w:rFonts w:ascii="宋体" w:hAnsi="宋体" w:cs="宋体"/>
          <w:color w:val="000000"/>
          <w:sz w:val="24"/>
        </w:rPr>
        <w:t>11.2技术资料：中标人应向采购人提供不少于以下列明的中文(或英文)技术资料，在设备供货时同时提供；并提供货物相关的证明文件或资料，其费用应包括在报价内。</w:t>
      </w:r>
    </w:p>
    <w:p w14:paraId="54EC59DA">
      <w:pPr>
        <w:pStyle w:val="14"/>
        <w:spacing w:line="360" w:lineRule="auto"/>
        <w:ind w:firstLine="480"/>
        <w:jc w:val="both"/>
        <w:rPr>
          <w:rFonts w:hint="default"/>
        </w:rPr>
      </w:pPr>
      <w:r>
        <w:rPr>
          <w:rFonts w:ascii="宋体" w:hAnsi="宋体" w:cs="宋体"/>
          <w:color w:val="000000"/>
          <w:sz w:val="24"/>
        </w:rPr>
        <w:t>中标后应提供的技术资料如下：</w:t>
      </w:r>
    </w:p>
    <w:p w14:paraId="723C33E2">
      <w:pPr>
        <w:pStyle w:val="14"/>
        <w:spacing w:line="360" w:lineRule="auto"/>
        <w:ind w:firstLine="480"/>
        <w:jc w:val="both"/>
        <w:rPr>
          <w:rFonts w:hint="default"/>
        </w:rPr>
      </w:pPr>
      <w:r>
        <w:rPr>
          <w:rFonts w:ascii="宋体" w:hAnsi="宋体" w:cs="宋体"/>
          <w:color w:val="000000"/>
          <w:sz w:val="24"/>
        </w:rPr>
        <w:t>1)出厂明细表(装箱单)；</w:t>
      </w:r>
    </w:p>
    <w:p w14:paraId="13A909A6">
      <w:pPr>
        <w:pStyle w:val="14"/>
        <w:spacing w:line="360" w:lineRule="auto"/>
        <w:ind w:firstLine="480"/>
        <w:jc w:val="both"/>
        <w:rPr>
          <w:rFonts w:hint="default"/>
        </w:rPr>
      </w:pPr>
      <w:r>
        <w:rPr>
          <w:rFonts w:ascii="宋体" w:hAnsi="宋体" w:cs="宋体"/>
          <w:color w:val="000000"/>
          <w:sz w:val="24"/>
        </w:rPr>
        <w:t>2)出厂检验报告、合格证书；</w:t>
      </w:r>
    </w:p>
    <w:p w14:paraId="75A91825">
      <w:pPr>
        <w:pStyle w:val="14"/>
        <w:spacing w:line="360" w:lineRule="auto"/>
        <w:ind w:firstLine="480"/>
        <w:jc w:val="both"/>
        <w:rPr>
          <w:rFonts w:hint="default"/>
        </w:rPr>
      </w:pPr>
      <w:r>
        <w:rPr>
          <w:rFonts w:ascii="宋体" w:hAnsi="宋体" w:cs="宋体"/>
          <w:color w:val="000000"/>
          <w:sz w:val="24"/>
        </w:rPr>
        <w:t>3)安装手册；操作手册(中文)；维修手册；</w:t>
      </w:r>
    </w:p>
    <w:p w14:paraId="45AA9F14">
      <w:pPr>
        <w:pStyle w:val="14"/>
        <w:spacing w:line="360" w:lineRule="auto"/>
        <w:ind w:firstLine="480"/>
        <w:jc w:val="both"/>
        <w:rPr>
          <w:rFonts w:hint="default"/>
        </w:rPr>
      </w:pPr>
      <w:r>
        <w:rPr>
          <w:rFonts w:ascii="宋体" w:hAnsi="宋体" w:cs="宋体"/>
          <w:sz w:val="24"/>
        </w:rPr>
        <w:t>4)使用说明书；</w:t>
      </w:r>
    </w:p>
    <w:p w14:paraId="198969FC">
      <w:pPr>
        <w:pStyle w:val="14"/>
        <w:spacing w:line="360" w:lineRule="auto"/>
        <w:ind w:firstLine="480"/>
        <w:jc w:val="both"/>
        <w:rPr>
          <w:rFonts w:hint="default"/>
        </w:rPr>
      </w:pPr>
      <w:r>
        <w:rPr>
          <w:rFonts w:ascii="宋体" w:hAnsi="宋体" w:cs="宋体"/>
          <w:sz w:val="24"/>
        </w:rPr>
        <w:t>5)设备安装、调试等安装调试资料；</w:t>
      </w:r>
    </w:p>
    <w:p w14:paraId="2846DAA5">
      <w:pPr>
        <w:pStyle w:val="14"/>
        <w:spacing w:line="360" w:lineRule="auto"/>
        <w:ind w:firstLine="480"/>
        <w:jc w:val="both"/>
        <w:rPr>
          <w:rFonts w:hint="default" w:ascii="宋体" w:hAnsi="宋体" w:cs="宋体"/>
          <w:sz w:val="24"/>
        </w:rPr>
      </w:pPr>
      <w:r>
        <w:rPr>
          <w:rFonts w:ascii="宋体" w:hAnsi="宋体" w:cs="宋体"/>
          <w:sz w:val="24"/>
        </w:rPr>
        <w:t>6)合同中要求的其它文件资料。</w:t>
      </w:r>
    </w:p>
    <w:p w14:paraId="2CC9AD30">
      <w:pPr>
        <w:pStyle w:val="14"/>
        <w:spacing w:line="360" w:lineRule="auto"/>
        <w:ind w:firstLine="480"/>
        <w:jc w:val="both"/>
        <w:rPr>
          <w:rFonts w:hint="default" w:ascii="宋体" w:hAnsi="宋体" w:cs="宋体"/>
          <w:b/>
          <w:bCs/>
          <w:sz w:val="24"/>
          <w:highlight w:val="none"/>
          <w:lang w:eastAsia="zh-CN"/>
        </w:rPr>
      </w:pPr>
      <w:r>
        <w:rPr>
          <w:rFonts w:ascii="宋体" w:hAnsi="宋体" w:cs="宋体"/>
          <w:b/>
          <w:bCs/>
          <w:sz w:val="24"/>
          <w:highlight w:val="none"/>
          <w:lang w:eastAsia="zh-CN"/>
        </w:rPr>
        <w:t>11.3 采购包1供货时提供校准证书：主机直流电压与电流、示波器、车辆接口温度保护功能试验装置的温度与功率、温湿度测量装置的温度与湿度、碾压装置的载荷与碾压速度、Y电容校准、接触电流测试仪、</w:t>
      </w:r>
      <w:r>
        <w:rPr>
          <w:rFonts w:ascii="宋体" w:hAnsi="宋体" w:cs="宋体"/>
          <w:b/>
          <w:bCs/>
          <w:sz w:val="24"/>
          <w:highlight w:val="none"/>
        </w:rPr>
        <w:t>双向直流电源</w:t>
      </w:r>
      <w:r>
        <w:rPr>
          <w:rFonts w:ascii="宋体" w:hAnsi="宋体" w:cs="宋体"/>
          <w:b/>
          <w:bCs/>
          <w:sz w:val="24"/>
          <w:highlight w:val="none"/>
          <w:lang w:eastAsia="zh-CN"/>
        </w:rPr>
        <w:t>。</w:t>
      </w:r>
    </w:p>
    <w:p w14:paraId="562FEC29">
      <w:pPr>
        <w:pStyle w:val="14"/>
        <w:spacing w:line="360" w:lineRule="auto"/>
        <w:ind w:firstLine="480"/>
        <w:jc w:val="both"/>
        <w:rPr>
          <w:rFonts w:hint="default"/>
          <w:highlight w:val="none"/>
        </w:rPr>
      </w:pPr>
      <w:r>
        <w:rPr>
          <w:rFonts w:ascii="宋体" w:hAnsi="宋体" w:cs="宋体"/>
          <w:color w:val="000000"/>
          <w:sz w:val="24"/>
          <w:highlight w:val="none"/>
        </w:rPr>
        <w:t>12、质保期和售后服务要求</w:t>
      </w:r>
    </w:p>
    <w:p w14:paraId="017D3265">
      <w:pPr>
        <w:pStyle w:val="14"/>
        <w:spacing w:line="360" w:lineRule="auto"/>
        <w:ind w:firstLine="480"/>
        <w:jc w:val="both"/>
        <w:rPr>
          <w:rFonts w:hint="default"/>
          <w:highlight w:val="none"/>
        </w:rPr>
      </w:pPr>
      <w:r>
        <w:rPr>
          <w:rFonts w:ascii="宋体" w:hAnsi="宋体" w:cs="宋体"/>
          <w:color w:val="000000"/>
          <w:sz w:val="24"/>
          <w:highlight w:val="none"/>
        </w:rPr>
        <w:t>12.1中标人须按招标文件的要求提供合格的产品。</w:t>
      </w:r>
      <w:r>
        <w:rPr>
          <w:rFonts w:ascii="宋体" w:hAnsi="宋体" w:cs="宋体"/>
          <w:b/>
          <w:bCs/>
          <w:color w:val="000000"/>
          <w:sz w:val="24"/>
          <w:highlight w:val="none"/>
          <w:lang w:eastAsia="zh-CN"/>
        </w:rPr>
        <w:t>采购包1、采购包2、采购包3、采购包4、采购包5质保期为</w:t>
      </w:r>
      <w:r>
        <w:rPr>
          <w:rFonts w:ascii="宋体" w:hAnsi="宋体" w:cs="宋体"/>
          <w:b/>
          <w:bCs/>
          <w:sz w:val="24"/>
          <w:highlight w:val="none"/>
        </w:rPr>
        <w:t>自仪器安装调试确认验收合格（如须计量的仪器以通过计量并验收确认时间为准）之日起免费保修</w:t>
      </w:r>
      <w:r>
        <w:rPr>
          <w:rFonts w:hint="default" w:ascii="宋体" w:hAnsi="宋体" w:cs="宋体"/>
          <w:b/>
          <w:bCs/>
          <w:sz w:val="24"/>
          <w:highlight w:val="none"/>
        </w:rPr>
        <w:t>2</w:t>
      </w:r>
      <w:r>
        <w:rPr>
          <w:rFonts w:ascii="宋体" w:hAnsi="宋体" w:cs="宋体"/>
          <w:b/>
          <w:bCs/>
          <w:sz w:val="24"/>
          <w:highlight w:val="none"/>
        </w:rPr>
        <w:t>年，质保期内提供一切免费维修服务和免费零配件更换，终身维修。</w:t>
      </w:r>
    </w:p>
    <w:p w14:paraId="2550A298">
      <w:pPr>
        <w:pStyle w:val="14"/>
        <w:spacing w:line="360" w:lineRule="auto"/>
        <w:ind w:firstLine="480"/>
        <w:jc w:val="both"/>
        <w:rPr>
          <w:rFonts w:hint="default"/>
        </w:rPr>
      </w:pPr>
      <w:r>
        <w:rPr>
          <w:rFonts w:ascii="宋体" w:hAnsi="宋体" w:cs="宋体"/>
          <w:color w:val="000000"/>
          <w:sz w:val="24"/>
        </w:rPr>
        <w:t>12.2中标人在保修期内须提供上门维修服务，中标人应提供上门维修服务，在质保期内所有服务及配件全部免费。中标人随时电话或书面为需方解答产品使用中出现的疑难问题，4小时内提供解决方案。在采购人不能自行维修的情况下，3天内工程师必须到现场维修。</w:t>
      </w:r>
    </w:p>
    <w:p w14:paraId="2E771DE5">
      <w:pPr>
        <w:pStyle w:val="14"/>
        <w:spacing w:line="360" w:lineRule="auto"/>
        <w:ind w:firstLine="480" w:firstLineChars="200"/>
        <w:jc w:val="both"/>
        <w:rPr>
          <w:rFonts w:hint="default" w:ascii="宋体" w:hAnsi="宋体" w:cs="宋体"/>
          <w:color w:val="000000"/>
          <w:sz w:val="24"/>
        </w:rPr>
      </w:pPr>
      <w:r>
        <w:rPr>
          <w:rFonts w:ascii="宋体" w:hAnsi="宋体" w:cs="宋体"/>
          <w:color w:val="000000"/>
          <w:sz w:val="24"/>
        </w:rPr>
        <w:t>12.2.1中标人应提供上门维修服务，在质保期内所有服务及配件全部免费。中标人维修人员在接到通知后应24小时内响应，48小时内上门服务，并进行终身维护。</w:t>
      </w:r>
    </w:p>
    <w:p w14:paraId="44F326B1">
      <w:pPr>
        <w:pStyle w:val="14"/>
        <w:spacing w:line="360" w:lineRule="auto"/>
        <w:ind w:firstLine="480" w:firstLineChars="200"/>
        <w:jc w:val="both"/>
        <w:rPr>
          <w:rFonts w:hint="default" w:ascii="宋体" w:hAnsi="宋体" w:cs="宋体"/>
          <w:color w:val="000000"/>
          <w:sz w:val="24"/>
        </w:rPr>
      </w:pPr>
      <w:r>
        <w:rPr>
          <w:rFonts w:ascii="宋体" w:hAnsi="宋体" w:cs="宋体"/>
          <w:color w:val="000000"/>
          <w:sz w:val="24"/>
        </w:rPr>
        <w:t>12.2.2中标人应在质保期内提供免费上门维修服务。2 小时响应，72 小时内上门服务，并进行终身维护。如不能维修，中标人应提供同一档次的设备给采购人代用。免费质保期内中标人负责所有因设备质量问题而产生的费用。因采购人使用不当造成的损坏，中标人免费上门维修，采购人承担维修设备配件费用。质保期内如物品非因采购人的人为原因而出现的质量问题由中标人负责包修、包换或包退，并承担修理、调换或退货的实际费用。</w:t>
      </w:r>
    </w:p>
    <w:p w14:paraId="392957A8">
      <w:pPr>
        <w:pStyle w:val="14"/>
        <w:spacing w:line="360" w:lineRule="auto"/>
        <w:ind w:left="480"/>
        <w:jc w:val="both"/>
        <w:rPr>
          <w:rFonts w:hint="default" w:ascii="宋体" w:hAnsi="宋体" w:cs="宋体"/>
          <w:color w:val="000000"/>
          <w:sz w:val="24"/>
        </w:rPr>
      </w:pPr>
      <w:r>
        <w:rPr>
          <w:rFonts w:ascii="宋体" w:hAnsi="宋体" w:cs="宋体"/>
          <w:color w:val="000000"/>
          <w:sz w:val="24"/>
        </w:rPr>
        <w:t>12.3保修期满前1个月内中标人应负责对设备进行一次免费全面检查，如</w:t>
      </w:r>
    </w:p>
    <w:p w14:paraId="4D752AD3">
      <w:pPr>
        <w:pStyle w:val="14"/>
        <w:spacing w:line="360" w:lineRule="auto"/>
        <w:jc w:val="both"/>
        <w:rPr>
          <w:rFonts w:hint="default"/>
        </w:rPr>
      </w:pPr>
      <w:r>
        <w:rPr>
          <w:rFonts w:ascii="宋体" w:hAnsi="宋体" w:cs="宋体"/>
          <w:color w:val="000000"/>
          <w:sz w:val="24"/>
        </w:rPr>
        <w:t>发现潜在问题，应负责排除，保证设备正常运行。</w:t>
      </w:r>
    </w:p>
    <w:p w14:paraId="3F18B009">
      <w:pPr>
        <w:pStyle w:val="14"/>
        <w:spacing w:line="360" w:lineRule="auto"/>
        <w:ind w:firstLine="480" w:firstLineChars="200"/>
        <w:jc w:val="both"/>
        <w:rPr>
          <w:rFonts w:hint="default"/>
        </w:rPr>
      </w:pPr>
      <w:r>
        <w:rPr>
          <w:rFonts w:ascii="宋体" w:hAnsi="宋体" w:cs="宋体"/>
          <w:color w:val="000000"/>
          <w:sz w:val="24"/>
        </w:rPr>
        <w:t>12.4</w:t>
      </w:r>
      <w:r>
        <w:rPr>
          <w:rFonts w:ascii="宋体" w:hAnsi="宋体" w:cs="宋体"/>
          <w:sz w:val="24"/>
        </w:rPr>
        <w:t>保修期外，中标人在设备寿命期内以不高于市场价的价格保证备品备件并长期提供技术咨询服务。中标人在接到采购人要求对所购仪器进行维修通知时，应在24小时内给予明确的解决措施；重大问题或其他无法迅速解决的问题应至少能在一周内解决或提出明确的解决方案，并至少能在一个月内彻底解决故障。保修期外，提供终身维修。</w:t>
      </w:r>
    </w:p>
    <w:p w14:paraId="5A1F3625">
      <w:pPr>
        <w:pStyle w:val="14"/>
        <w:spacing w:line="360" w:lineRule="auto"/>
        <w:ind w:firstLine="480"/>
        <w:jc w:val="both"/>
        <w:rPr>
          <w:rFonts w:hint="default"/>
        </w:rPr>
      </w:pPr>
      <w:r>
        <w:rPr>
          <w:rFonts w:ascii="宋体" w:hAnsi="宋体" w:cs="宋体"/>
          <w:color w:val="000000"/>
          <w:sz w:val="24"/>
        </w:rPr>
        <w:t>12.5软件免费服务：提供设备相关软件终身免费升级服务。</w:t>
      </w:r>
    </w:p>
    <w:p w14:paraId="030609CE">
      <w:pPr>
        <w:pStyle w:val="14"/>
        <w:spacing w:line="360" w:lineRule="auto"/>
        <w:ind w:firstLine="480"/>
        <w:jc w:val="both"/>
        <w:rPr>
          <w:rFonts w:hint="default"/>
        </w:rPr>
      </w:pPr>
      <w:r>
        <w:rPr>
          <w:rFonts w:ascii="宋体" w:hAnsi="宋体" w:cs="宋体"/>
          <w:color w:val="000000"/>
          <w:sz w:val="24"/>
        </w:rPr>
        <w:t>12.6各投标人可视自身能力在投标文件中提供更优、更合理的质保期和售后服务承诺。</w:t>
      </w:r>
    </w:p>
    <w:p w14:paraId="4E895043">
      <w:pPr>
        <w:pStyle w:val="14"/>
        <w:spacing w:line="360" w:lineRule="auto"/>
        <w:ind w:firstLine="480"/>
        <w:jc w:val="both"/>
        <w:rPr>
          <w:rFonts w:hint="default"/>
        </w:rPr>
      </w:pPr>
      <w:r>
        <w:rPr>
          <w:rFonts w:ascii="宋体" w:hAnsi="宋体" w:cs="宋体"/>
          <w:color w:val="000000"/>
          <w:sz w:val="24"/>
        </w:rPr>
        <w:t>13.专用工具、特殊工具与配品配件</w:t>
      </w:r>
    </w:p>
    <w:p w14:paraId="553EFC88">
      <w:pPr>
        <w:pStyle w:val="14"/>
        <w:spacing w:line="360" w:lineRule="auto"/>
        <w:ind w:firstLine="480"/>
        <w:jc w:val="both"/>
        <w:rPr>
          <w:rFonts w:hint="default"/>
        </w:rPr>
      </w:pPr>
      <w:r>
        <w:rPr>
          <w:rFonts w:ascii="宋体" w:hAnsi="宋体" w:cs="宋体"/>
          <w:color w:val="000000"/>
          <w:sz w:val="24"/>
        </w:rPr>
        <w:t>13.1专用工具：中标人应向采购人提供一套</w:t>
      </w:r>
    </w:p>
    <w:p w14:paraId="519B8D06">
      <w:pPr>
        <w:pStyle w:val="14"/>
        <w:spacing w:line="360" w:lineRule="auto"/>
        <w:ind w:firstLine="480"/>
        <w:jc w:val="both"/>
        <w:rPr>
          <w:rFonts w:hint="default"/>
        </w:rPr>
      </w:pPr>
      <w:r>
        <w:rPr>
          <w:rFonts w:ascii="宋体" w:hAnsi="宋体" w:cs="宋体"/>
          <w:color w:val="000000"/>
          <w:sz w:val="24"/>
        </w:rPr>
        <w:t>14.违约责任</w:t>
      </w:r>
    </w:p>
    <w:p w14:paraId="75FFC1C2">
      <w:pPr>
        <w:pStyle w:val="14"/>
        <w:spacing w:line="360" w:lineRule="auto"/>
        <w:ind w:firstLine="480"/>
        <w:jc w:val="both"/>
        <w:rPr>
          <w:rFonts w:hint="default"/>
        </w:rPr>
      </w:pPr>
      <w:r>
        <w:rPr>
          <w:rFonts w:ascii="宋体" w:hAnsi="宋体" w:cs="宋体"/>
          <w:color w:val="000000"/>
          <w:sz w:val="24"/>
        </w:rPr>
        <w:t>14.1中标人按合同清单上的货物运达指定地点并安装调试完成后，采购人应严格按照招标文件要求在双方约定的时间内进行验收，采购人无正当理由不得无故拖延验收时间。</w:t>
      </w:r>
    </w:p>
    <w:p w14:paraId="5D66C09B">
      <w:pPr>
        <w:pStyle w:val="14"/>
        <w:spacing w:line="360" w:lineRule="auto"/>
        <w:ind w:firstLine="480"/>
        <w:jc w:val="both"/>
        <w:rPr>
          <w:rFonts w:hint="default"/>
        </w:rPr>
      </w:pPr>
      <w:r>
        <w:rPr>
          <w:rFonts w:ascii="宋体" w:hAnsi="宋体" w:cs="宋体"/>
          <w:color w:val="000000"/>
          <w:sz w:val="24"/>
        </w:rPr>
        <w:t>14.2中标人所交货物不符合合同要求的，采购人有权拒收。</w:t>
      </w:r>
    </w:p>
    <w:p w14:paraId="169EF6D4">
      <w:pPr>
        <w:pStyle w:val="14"/>
        <w:spacing w:line="360" w:lineRule="auto"/>
        <w:ind w:firstLine="480"/>
        <w:jc w:val="both"/>
        <w:rPr>
          <w:rFonts w:hint="default"/>
        </w:rPr>
      </w:pPr>
      <w:r>
        <w:rPr>
          <w:rFonts w:ascii="宋体" w:hAnsi="宋体" w:cs="宋体"/>
          <w:color w:val="000000"/>
          <w:sz w:val="24"/>
        </w:rPr>
        <w:t>14.3中标人不按合同约定履约的，采购人可以解除采购合同，若因此给采购人造成损失的，中标人还应赔偿采购人所受的损失。</w:t>
      </w:r>
    </w:p>
    <w:p w14:paraId="0C672A37">
      <w:pPr>
        <w:pStyle w:val="14"/>
        <w:spacing w:line="360" w:lineRule="auto"/>
        <w:ind w:firstLine="480"/>
        <w:jc w:val="both"/>
        <w:rPr>
          <w:rFonts w:hint="default"/>
        </w:rPr>
      </w:pPr>
      <w:r>
        <w:rPr>
          <w:rFonts w:ascii="宋体" w:hAnsi="宋体" w:cs="宋体"/>
          <w:color w:val="000000"/>
          <w:sz w:val="24"/>
        </w:rPr>
        <w:t>14.4因中标人违约对采购人造成损失的赔偿金及合同约定的违约金均可由采购人从未支付的合同款或履约保证金中扣除。</w:t>
      </w:r>
    </w:p>
    <w:p w14:paraId="730EB92C">
      <w:pPr>
        <w:pStyle w:val="14"/>
        <w:spacing w:line="360" w:lineRule="auto"/>
        <w:ind w:firstLine="480"/>
        <w:jc w:val="both"/>
        <w:rPr>
          <w:rFonts w:hint="default"/>
        </w:rPr>
      </w:pPr>
      <w:r>
        <w:rPr>
          <w:rFonts w:ascii="宋体" w:hAnsi="宋体" w:cs="宋体"/>
          <w:color w:val="000000"/>
          <w:sz w:val="24"/>
        </w:rPr>
        <w:t>14.5 因采购人原因导致中标人未能按合同约定履行的，中标人可免于承担违约责任。</w:t>
      </w:r>
    </w:p>
    <w:p w14:paraId="0C75E239">
      <w:pPr>
        <w:pStyle w:val="14"/>
        <w:spacing w:line="360" w:lineRule="auto"/>
        <w:ind w:firstLine="480"/>
        <w:jc w:val="both"/>
        <w:rPr>
          <w:rFonts w:hint="default"/>
        </w:rPr>
      </w:pPr>
      <w:r>
        <w:rPr>
          <w:rFonts w:ascii="宋体" w:hAnsi="宋体" w:cs="宋体"/>
          <w:color w:val="000000"/>
          <w:sz w:val="24"/>
        </w:rPr>
        <w:t>14.6如出现中标人未能到期供货的情况，采购人有权单方终止合同的执行，所有的经济损失由逾期中标人单方承担。</w:t>
      </w:r>
    </w:p>
    <w:p w14:paraId="165FA1B7">
      <w:pPr>
        <w:pStyle w:val="14"/>
        <w:spacing w:line="360" w:lineRule="auto"/>
        <w:ind w:firstLine="480"/>
        <w:jc w:val="both"/>
        <w:rPr>
          <w:rFonts w:hint="default"/>
        </w:rPr>
      </w:pPr>
      <w:r>
        <w:rPr>
          <w:rFonts w:ascii="宋体" w:hAnsi="宋体" w:cs="宋体"/>
          <w:color w:val="000000"/>
          <w:sz w:val="24"/>
        </w:rPr>
        <w:t>15.知识产权</w:t>
      </w:r>
    </w:p>
    <w:p w14:paraId="2EF1DACB">
      <w:pPr>
        <w:pStyle w:val="14"/>
        <w:spacing w:line="360" w:lineRule="auto"/>
        <w:ind w:firstLine="480"/>
        <w:jc w:val="both"/>
        <w:rPr>
          <w:rFonts w:hint="default"/>
        </w:rPr>
      </w:pPr>
      <w:r>
        <w:rPr>
          <w:rFonts w:ascii="宋体" w:hAnsi="宋体" w:cs="宋体"/>
          <w:color w:val="000000"/>
          <w:sz w:val="24"/>
        </w:rPr>
        <w:t>15.1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14:paraId="077B3210">
      <w:pPr>
        <w:pStyle w:val="14"/>
        <w:spacing w:line="360" w:lineRule="auto"/>
        <w:ind w:firstLine="480"/>
        <w:jc w:val="both"/>
        <w:rPr>
          <w:rFonts w:hint="default"/>
        </w:rPr>
      </w:pPr>
      <w:r>
        <w:rPr>
          <w:rFonts w:ascii="宋体" w:hAnsi="宋体" w:cs="宋体"/>
          <w:color w:val="000000"/>
          <w:sz w:val="24"/>
        </w:rPr>
        <w:t>15.2若中标人提供的采购标的不符合国家知识产权法律、法规的规定或被有关主管机关认定为假冒伪劣品，则中标人中标资格将被取消；采购人还将按照有关法律、法规和规章的规定进行处理，具体按合同约定追究其违约责任。</w:t>
      </w:r>
    </w:p>
    <w:p w14:paraId="72297210">
      <w:pPr>
        <w:pStyle w:val="14"/>
        <w:spacing w:line="360" w:lineRule="auto"/>
        <w:ind w:firstLine="480"/>
        <w:jc w:val="both"/>
        <w:rPr>
          <w:rFonts w:hint="default"/>
        </w:rPr>
      </w:pPr>
    </w:p>
    <w:p w14:paraId="39339983">
      <w:pPr>
        <w:pStyle w:val="14"/>
        <w:spacing w:line="360" w:lineRule="auto"/>
        <w:jc w:val="both"/>
        <w:outlineLvl w:val="2"/>
        <w:rPr>
          <w:rFonts w:hint="default" w:ascii="宋体" w:hAnsi="宋体" w:eastAsia="宋体" w:cs="宋体"/>
          <w:sz w:val="24"/>
          <w:szCs w:val="24"/>
        </w:rPr>
      </w:pPr>
      <w:r>
        <w:rPr>
          <w:rFonts w:ascii="宋体" w:hAnsi="宋体" w:eastAsia="宋体" w:cs="宋体"/>
          <w:b/>
          <w:sz w:val="24"/>
          <w:szCs w:val="24"/>
        </w:rPr>
        <w:t>四、其他事项</w:t>
      </w:r>
    </w:p>
    <w:p w14:paraId="07251FAE">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1、除招标文件另有规定外，若出现有关法律、法规和规章有强制性规定但招标文件未列明的情形，则投标人应按照有关法律、法规和规章强制性规定执行。</w:t>
      </w:r>
    </w:p>
    <w:p w14:paraId="659F9C36">
      <w:pPr>
        <w:pStyle w:val="14"/>
        <w:spacing w:line="360" w:lineRule="auto"/>
        <w:ind w:firstLine="480"/>
        <w:jc w:val="both"/>
        <w:rPr>
          <w:rFonts w:hint="default" w:ascii="宋体" w:hAnsi="宋体" w:eastAsia="宋体" w:cs="宋体"/>
          <w:sz w:val="24"/>
          <w:szCs w:val="24"/>
        </w:rPr>
      </w:pPr>
      <w:r>
        <w:rPr>
          <w:rFonts w:ascii="宋体" w:hAnsi="宋体" w:eastAsia="宋体" w:cs="宋体"/>
          <w:sz w:val="24"/>
          <w:szCs w:val="24"/>
        </w:rPr>
        <w:t>2、其他：无</w:t>
      </w:r>
    </w:p>
    <w:p w14:paraId="1674CF91">
      <w:pPr>
        <w:pStyle w:val="14"/>
        <w:spacing w:line="360" w:lineRule="auto"/>
        <w:rPr>
          <w:rFonts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p>
    <w:p w14:paraId="49915D2A">
      <w:pPr>
        <w:pStyle w:val="14"/>
        <w:spacing w:line="360" w:lineRule="auto"/>
        <w:rPr>
          <w:rFonts w:ascii="宋体" w:hAnsi="宋体" w:eastAsia="宋体" w:cs="宋体"/>
          <w:sz w:val="24"/>
          <w:szCs w:val="24"/>
        </w:rPr>
      </w:pPr>
    </w:p>
    <w:p w14:paraId="7CE1CB95">
      <w:pPr>
        <w:pStyle w:val="14"/>
        <w:spacing w:line="360" w:lineRule="auto"/>
        <w:rPr>
          <w:rFonts w:ascii="宋体" w:hAnsi="宋体" w:eastAsia="宋体" w:cs="宋体"/>
          <w:sz w:val="24"/>
          <w:szCs w:val="24"/>
        </w:rPr>
      </w:pPr>
    </w:p>
    <w:p w14:paraId="6E930547">
      <w:pPr>
        <w:pStyle w:val="14"/>
        <w:spacing w:line="360" w:lineRule="auto"/>
        <w:rPr>
          <w:rFonts w:ascii="宋体" w:hAnsi="宋体" w:eastAsia="宋体" w:cs="宋体"/>
          <w:sz w:val="24"/>
          <w:szCs w:val="24"/>
        </w:rPr>
      </w:pPr>
    </w:p>
    <w:p w14:paraId="32DBBDC7">
      <w:pPr>
        <w:pStyle w:val="14"/>
        <w:spacing w:line="360" w:lineRule="auto"/>
        <w:rPr>
          <w:rFonts w:ascii="宋体" w:hAnsi="宋体" w:eastAsia="宋体" w:cs="宋体"/>
          <w:sz w:val="24"/>
          <w:szCs w:val="24"/>
        </w:rPr>
      </w:pPr>
    </w:p>
    <w:p w14:paraId="5695C1C3">
      <w:pPr>
        <w:pStyle w:val="14"/>
        <w:spacing w:line="360" w:lineRule="auto"/>
        <w:rPr>
          <w:rFonts w:ascii="宋体" w:hAnsi="宋体" w:eastAsia="宋体" w:cs="宋体"/>
          <w:sz w:val="24"/>
          <w:szCs w:val="24"/>
        </w:rPr>
      </w:pPr>
    </w:p>
    <w:p w14:paraId="431FF635">
      <w:pPr>
        <w:pStyle w:val="14"/>
        <w:spacing w:line="360" w:lineRule="auto"/>
        <w:rPr>
          <w:rFonts w:ascii="宋体" w:hAnsi="宋体" w:eastAsia="宋体" w:cs="宋体"/>
          <w:sz w:val="24"/>
          <w:szCs w:val="24"/>
        </w:rPr>
      </w:pPr>
    </w:p>
    <w:p w14:paraId="0BF1639A">
      <w:pPr>
        <w:pStyle w:val="14"/>
        <w:spacing w:line="360" w:lineRule="auto"/>
        <w:rPr>
          <w:rFonts w:ascii="宋体" w:hAnsi="宋体" w:eastAsia="宋体" w:cs="宋体"/>
          <w:sz w:val="24"/>
          <w:szCs w:val="24"/>
        </w:rPr>
      </w:pPr>
    </w:p>
    <w:p w14:paraId="1F0973BF">
      <w:pPr>
        <w:pStyle w:val="14"/>
        <w:spacing w:line="360" w:lineRule="auto"/>
        <w:rPr>
          <w:rFonts w:ascii="宋体" w:hAnsi="宋体" w:eastAsia="宋体" w:cs="宋体"/>
          <w:sz w:val="24"/>
          <w:szCs w:val="24"/>
        </w:rPr>
      </w:pPr>
    </w:p>
    <w:p w14:paraId="7011ACA5">
      <w:pPr>
        <w:pStyle w:val="14"/>
        <w:spacing w:line="360" w:lineRule="auto"/>
        <w:rPr>
          <w:rFonts w:ascii="宋体" w:hAnsi="宋体" w:eastAsia="宋体" w:cs="宋体"/>
          <w:sz w:val="24"/>
          <w:szCs w:val="24"/>
        </w:rPr>
      </w:pPr>
    </w:p>
    <w:p w14:paraId="08B563ED">
      <w:pPr>
        <w:pStyle w:val="14"/>
        <w:spacing w:line="360" w:lineRule="auto"/>
        <w:rPr>
          <w:rFonts w:ascii="宋体" w:hAnsi="宋体" w:eastAsia="宋体" w:cs="宋体"/>
          <w:sz w:val="24"/>
          <w:szCs w:val="24"/>
        </w:rPr>
      </w:pPr>
    </w:p>
    <w:p w14:paraId="5E7B8CDA">
      <w:pPr>
        <w:pStyle w:val="14"/>
        <w:spacing w:line="360" w:lineRule="auto"/>
        <w:rPr>
          <w:rFonts w:ascii="宋体" w:hAnsi="宋体" w:eastAsia="宋体" w:cs="宋体"/>
          <w:sz w:val="24"/>
          <w:szCs w:val="24"/>
        </w:rPr>
      </w:pPr>
    </w:p>
    <w:p w14:paraId="3E0B1B9A">
      <w:pPr>
        <w:pStyle w:val="14"/>
        <w:spacing w:line="360" w:lineRule="auto"/>
        <w:rPr>
          <w:rFonts w:ascii="宋体" w:hAnsi="宋体" w:eastAsia="宋体" w:cs="宋体"/>
          <w:sz w:val="24"/>
          <w:szCs w:val="24"/>
        </w:rPr>
      </w:pPr>
    </w:p>
    <w:p w14:paraId="4DB9C30F">
      <w:pPr>
        <w:pStyle w:val="14"/>
        <w:spacing w:line="360" w:lineRule="auto"/>
        <w:rPr>
          <w:rFonts w:ascii="宋体" w:hAnsi="宋体" w:eastAsia="宋体" w:cs="宋体"/>
          <w:sz w:val="24"/>
          <w:szCs w:val="24"/>
        </w:rPr>
      </w:pPr>
    </w:p>
    <w:p w14:paraId="68490A5C">
      <w:pPr>
        <w:pStyle w:val="14"/>
        <w:spacing w:line="360" w:lineRule="auto"/>
        <w:rPr>
          <w:rFonts w:ascii="宋体" w:hAnsi="宋体" w:eastAsia="宋体" w:cs="宋体"/>
          <w:sz w:val="24"/>
          <w:szCs w:val="24"/>
        </w:rPr>
      </w:pPr>
    </w:p>
    <w:p w14:paraId="63A55AA7">
      <w:pPr>
        <w:pStyle w:val="14"/>
        <w:spacing w:line="360" w:lineRule="auto"/>
        <w:rPr>
          <w:rFonts w:ascii="宋体" w:hAnsi="宋体" w:eastAsia="宋体" w:cs="宋体"/>
          <w:sz w:val="24"/>
          <w:szCs w:val="24"/>
        </w:rPr>
      </w:pPr>
    </w:p>
    <w:p w14:paraId="59F40DD2">
      <w:pPr>
        <w:pStyle w:val="14"/>
        <w:spacing w:line="360" w:lineRule="auto"/>
        <w:rPr>
          <w:rFonts w:ascii="宋体" w:hAnsi="宋体" w:eastAsia="宋体" w:cs="宋体"/>
          <w:sz w:val="24"/>
          <w:szCs w:val="24"/>
        </w:rPr>
      </w:pPr>
    </w:p>
    <w:p w14:paraId="39EE1B62">
      <w:pPr>
        <w:pStyle w:val="14"/>
        <w:spacing w:line="360" w:lineRule="auto"/>
        <w:rPr>
          <w:rFonts w:ascii="宋体" w:hAnsi="宋体" w:eastAsia="宋体" w:cs="宋体"/>
          <w:sz w:val="24"/>
          <w:szCs w:val="24"/>
        </w:rPr>
      </w:pPr>
    </w:p>
    <w:p w14:paraId="54F384D7">
      <w:pPr>
        <w:pStyle w:val="14"/>
        <w:spacing w:line="360" w:lineRule="auto"/>
        <w:rPr>
          <w:rFonts w:ascii="宋体" w:hAnsi="宋体" w:eastAsia="宋体" w:cs="宋体"/>
          <w:sz w:val="24"/>
          <w:szCs w:val="24"/>
        </w:rPr>
      </w:pPr>
    </w:p>
    <w:p w14:paraId="006B9A3B">
      <w:pPr>
        <w:pStyle w:val="14"/>
        <w:spacing w:line="360" w:lineRule="auto"/>
        <w:rPr>
          <w:rFonts w:ascii="宋体" w:hAnsi="宋体" w:eastAsia="宋体" w:cs="宋体"/>
          <w:sz w:val="24"/>
          <w:szCs w:val="24"/>
        </w:rPr>
      </w:pPr>
    </w:p>
    <w:p w14:paraId="61E73B00">
      <w:pPr>
        <w:pStyle w:val="14"/>
        <w:spacing w:line="360" w:lineRule="auto"/>
        <w:jc w:val="center"/>
        <w:outlineLvl w:val="1"/>
        <w:rPr>
          <w:rFonts w:hint="default" w:ascii="宋体" w:hAnsi="宋体" w:eastAsia="宋体" w:cs="宋体"/>
          <w:sz w:val="32"/>
          <w:szCs w:val="32"/>
        </w:rPr>
      </w:pPr>
      <w:r>
        <w:rPr>
          <w:rFonts w:ascii="宋体" w:hAnsi="宋体" w:eastAsia="宋体" w:cs="宋体"/>
          <w:b/>
          <w:sz w:val="32"/>
          <w:szCs w:val="32"/>
        </w:rPr>
        <w:t>第六章 政府采购合同</w:t>
      </w:r>
    </w:p>
    <w:p w14:paraId="35CD4EF0">
      <w:pPr>
        <w:pStyle w:val="14"/>
        <w:spacing w:line="360" w:lineRule="auto"/>
        <w:jc w:val="center"/>
        <w:outlineLvl w:val="2"/>
        <w:rPr>
          <w:rFonts w:hint="default" w:ascii="宋体" w:hAnsi="宋体" w:eastAsia="宋体" w:cs="宋体"/>
          <w:sz w:val="28"/>
          <w:szCs w:val="28"/>
        </w:rPr>
      </w:pPr>
      <w:r>
        <w:rPr>
          <w:rFonts w:ascii="宋体" w:hAnsi="宋体" w:eastAsia="宋体" w:cs="宋体"/>
          <w:b/>
          <w:sz w:val="28"/>
          <w:szCs w:val="28"/>
        </w:rPr>
        <w:t>参考文本</w:t>
      </w:r>
    </w:p>
    <w:p w14:paraId="125962AD">
      <w:pPr>
        <w:pStyle w:val="14"/>
        <w:spacing w:line="360" w:lineRule="auto"/>
        <w:jc w:val="center"/>
        <w:outlineLvl w:val="0"/>
        <w:rPr>
          <w:rFonts w:hint="default" w:ascii="宋体" w:hAnsi="宋体" w:eastAsia="宋体" w:cs="宋体"/>
          <w:sz w:val="28"/>
          <w:szCs w:val="28"/>
        </w:rPr>
      </w:pPr>
      <w:r>
        <w:rPr>
          <w:rFonts w:ascii="宋体" w:hAnsi="宋体" w:eastAsia="宋体" w:cs="宋体"/>
          <w:b/>
          <w:sz w:val="28"/>
          <w:szCs w:val="28"/>
        </w:rPr>
        <w:t>政府采购货物买卖合同</w:t>
      </w:r>
    </w:p>
    <w:p w14:paraId="26485EA1">
      <w:pPr>
        <w:pStyle w:val="14"/>
        <w:spacing w:line="360" w:lineRule="auto"/>
        <w:jc w:val="center"/>
        <w:outlineLvl w:val="0"/>
        <w:rPr>
          <w:rFonts w:hint="default" w:ascii="宋体" w:hAnsi="宋体" w:eastAsia="宋体" w:cs="宋体"/>
          <w:sz w:val="24"/>
          <w:szCs w:val="24"/>
        </w:rPr>
      </w:pPr>
      <w:r>
        <w:rPr>
          <w:rFonts w:ascii="宋体" w:hAnsi="宋体" w:eastAsia="宋体" w:cs="宋体"/>
          <w:b/>
          <w:sz w:val="24"/>
          <w:szCs w:val="24"/>
        </w:rPr>
        <w:t>（试行）</w:t>
      </w:r>
    </w:p>
    <w:p w14:paraId="4BBB86BB">
      <w:pPr>
        <w:pStyle w:val="14"/>
        <w:spacing w:line="360" w:lineRule="auto"/>
        <w:rPr>
          <w:rFonts w:hint="default" w:ascii="宋体" w:hAnsi="宋体" w:eastAsia="宋体" w:cs="宋体"/>
          <w:sz w:val="24"/>
          <w:szCs w:val="24"/>
        </w:rPr>
      </w:pPr>
      <w:r>
        <w:rPr>
          <w:rFonts w:ascii="宋体" w:hAnsi="宋体" w:eastAsia="宋体" w:cs="宋体"/>
          <w:b/>
          <w:sz w:val="24"/>
          <w:szCs w:val="24"/>
        </w:rPr>
        <w:t>项目名称： __________________________</w:t>
      </w:r>
    </w:p>
    <w:p w14:paraId="1E323D7D">
      <w:pPr>
        <w:pStyle w:val="14"/>
        <w:spacing w:line="360" w:lineRule="auto"/>
        <w:rPr>
          <w:rFonts w:hint="default" w:ascii="宋体" w:hAnsi="宋体" w:eastAsia="宋体" w:cs="宋体"/>
          <w:sz w:val="24"/>
          <w:szCs w:val="24"/>
        </w:rPr>
      </w:pPr>
      <w:r>
        <w:rPr>
          <w:rFonts w:ascii="宋体" w:hAnsi="宋体" w:eastAsia="宋体" w:cs="宋体"/>
          <w:b/>
          <w:sz w:val="24"/>
          <w:szCs w:val="24"/>
        </w:rPr>
        <w:t>合同编号： __________________________</w:t>
      </w:r>
    </w:p>
    <w:p w14:paraId="3EDC536B">
      <w:pPr>
        <w:pStyle w:val="14"/>
        <w:spacing w:line="360" w:lineRule="auto"/>
        <w:rPr>
          <w:rFonts w:hint="default" w:ascii="宋体" w:hAnsi="宋体" w:eastAsia="宋体" w:cs="宋体"/>
          <w:sz w:val="24"/>
          <w:szCs w:val="24"/>
        </w:rPr>
      </w:pPr>
      <w:r>
        <w:rPr>
          <w:rFonts w:ascii="宋体" w:hAnsi="宋体" w:eastAsia="宋体" w:cs="宋体"/>
          <w:b/>
          <w:sz w:val="24"/>
          <w:szCs w:val="24"/>
        </w:rPr>
        <w:t>甲   方： __________________________</w:t>
      </w:r>
    </w:p>
    <w:p w14:paraId="4055480F">
      <w:pPr>
        <w:pStyle w:val="14"/>
        <w:spacing w:line="360" w:lineRule="auto"/>
        <w:rPr>
          <w:rFonts w:hint="default" w:ascii="宋体" w:hAnsi="宋体" w:eastAsia="宋体" w:cs="宋体"/>
          <w:sz w:val="24"/>
          <w:szCs w:val="24"/>
        </w:rPr>
      </w:pPr>
      <w:r>
        <w:rPr>
          <w:rFonts w:ascii="宋体" w:hAnsi="宋体" w:eastAsia="宋体" w:cs="宋体"/>
          <w:b/>
          <w:sz w:val="24"/>
          <w:szCs w:val="24"/>
        </w:rPr>
        <w:t>乙   方：__________________________</w:t>
      </w:r>
    </w:p>
    <w:p w14:paraId="22831E36">
      <w:pPr>
        <w:pStyle w:val="14"/>
        <w:spacing w:line="360" w:lineRule="auto"/>
        <w:rPr>
          <w:rFonts w:hint="default" w:ascii="宋体" w:hAnsi="宋体" w:eastAsia="宋体" w:cs="宋体"/>
          <w:sz w:val="24"/>
          <w:szCs w:val="24"/>
        </w:rPr>
      </w:pPr>
      <w:r>
        <w:rPr>
          <w:rFonts w:ascii="宋体" w:hAnsi="宋体" w:eastAsia="宋体" w:cs="宋体"/>
          <w:b/>
          <w:sz w:val="24"/>
          <w:szCs w:val="24"/>
        </w:rPr>
        <w:t>签订时间： __________________________</w:t>
      </w:r>
    </w:p>
    <w:p w14:paraId="11B0D8F7">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p>
    <w:p w14:paraId="04DE0423">
      <w:pPr>
        <w:pStyle w:val="14"/>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使用说明</w:t>
      </w:r>
    </w:p>
    <w:p w14:paraId="06C06823">
      <w:pPr>
        <w:pStyle w:val="14"/>
        <w:spacing w:line="360" w:lineRule="auto"/>
        <w:outlineLvl w:val="3"/>
        <w:rPr>
          <w:rFonts w:hint="default" w:ascii="宋体" w:hAnsi="宋体" w:eastAsia="宋体" w:cs="宋体"/>
          <w:sz w:val="24"/>
          <w:szCs w:val="24"/>
        </w:rPr>
      </w:pPr>
      <w:r>
        <w:rPr>
          <w:rFonts w:ascii="宋体" w:hAnsi="宋体" w:eastAsia="宋体" w:cs="宋体"/>
          <w:b/>
          <w:sz w:val="24"/>
          <w:szCs w:val="24"/>
        </w:rPr>
        <w:t>1.本合同标准文本适用于购买现成货物的采购项目，不包括需要供应商定制开发、创新研发的货物采购项目。</w:t>
      </w:r>
    </w:p>
    <w:p w14:paraId="0D85BB16">
      <w:pPr>
        <w:pStyle w:val="14"/>
        <w:spacing w:line="360" w:lineRule="auto"/>
        <w:outlineLvl w:val="3"/>
        <w:rPr>
          <w:rFonts w:hint="default" w:ascii="宋体" w:hAnsi="宋体" w:eastAsia="宋体" w:cs="宋体"/>
          <w:sz w:val="24"/>
          <w:szCs w:val="24"/>
        </w:rPr>
      </w:pPr>
      <w:r>
        <w:rPr>
          <w:rFonts w:ascii="宋体" w:hAnsi="宋体" w:eastAsia="宋体" w:cs="宋体"/>
          <w:b/>
          <w:sz w:val="24"/>
          <w:szCs w:val="24"/>
        </w:rPr>
        <w:t>2.本合同标准文本为政府采购货物买卖合同编制提供参考，可以结合采购项目具体情况，对文本作必要的调整修订后使用。</w:t>
      </w:r>
    </w:p>
    <w:p w14:paraId="43FA76EA">
      <w:pPr>
        <w:pStyle w:val="14"/>
        <w:spacing w:line="360" w:lineRule="auto"/>
        <w:outlineLvl w:val="3"/>
        <w:rPr>
          <w:rFonts w:hint="default" w:ascii="宋体" w:hAnsi="宋体" w:eastAsia="宋体" w:cs="宋体"/>
          <w:sz w:val="24"/>
          <w:szCs w:val="24"/>
        </w:rPr>
      </w:pPr>
      <w:r>
        <w:rPr>
          <w:rFonts w:ascii="宋体" w:hAnsi="宋体" w:eastAsia="宋体" w:cs="宋体"/>
          <w:b/>
          <w:sz w:val="24"/>
          <w:szCs w:val="24"/>
        </w:rPr>
        <w:t>3.本合同标准文本各条款中，如涉及填写多家供应商、制造商，多种采购标的、分包主要内容等信息的，可根据采购项目具体情况添加信息项。</w:t>
      </w:r>
    </w:p>
    <w:p w14:paraId="72441C15">
      <w:pPr>
        <w:pStyle w:val="14"/>
        <w:spacing w:line="360" w:lineRule="auto"/>
        <w:jc w:val="center"/>
        <w:outlineLvl w:val="1"/>
        <w:rPr>
          <w:rFonts w:hint="default" w:ascii="宋体" w:hAnsi="宋体" w:eastAsia="宋体" w:cs="宋体"/>
          <w:b/>
          <w:sz w:val="24"/>
          <w:szCs w:val="24"/>
        </w:rPr>
      </w:pPr>
    </w:p>
    <w:p w14:paraId="2195B54B">
      <w:pPr>
        <w:pStyle w:val="14"/>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第一节 政府采购合同协议书</w:t>
      </w:r>
    </w:p>
    <w:p w14:paraId="03CB7418">
      <w:pPr>
        <w:pStyle w:val="14"/>
        <w:spacing w:line="360" w:lineRule="auto"/>
        <w:rPr>
          <w:rFonts w:hint="default" w:ascii="宋体" w:hAnsi="宋体" w:eastAsia="宋体" w:cs="宋体"/>
          <w:sz w:val="24"/>
          <w:szCs w:val="24"/>
        </w:rPr>
      </w:pPr>
      <w:r>
        <w:rPr>
          <w:rFonts w:ascii="宋体" w:hAnsi="宋体" w:eastAsia="宋体" w:cs="宋体"/>
          <w:sz w:val="24"/>
          <w:szCs w:val="24"/>
        </w:rPr>
        <w:t>甲方（全称）：___________________________（采购人、受采购人委托签订合同的单位或采购文件约定的合同甲方）</w:t>
      </w:r>
    </w:p>
    <w:p w14:paraId="7D9D7202">
      <w:pPr>
        <w:pStyle w:val="14"/>
        <w:spacing w:line="360" w:lineRule="auto"/>
        <w:rPr>
          <w:rFonts w:hint="default" w:ascii="宋体" w:hAnsi="宋体" w:eastAsia="宋体" w:cs="宋体"/>
          <w:sz w:val="24"/>
          <w:szCs w:val="24"/>
        </w:rPr>
      </w:pPr>
      <w:r>
        <w:rPr>
          <w:rFonts w:ascii="宋体" w:hAnsi="宋体" w:eastAsia="宋体" w:cs="宋体"/>
          <w:sz w:val="24"/>
          <w:szCs w:val="24"/>
        </w:rPr>
        <w:t>乙方1（全称）：___________________________（供应商）</w:t>
      </w:r>
    </w:p>
    <w:p w14:paraId="351842F4">
      <w:pPr>
        <w:pStyle w:val="14"/>
        <w:spacing w:line="360" w:lineRule="auto"/>
        <w:rPr>
          <w:rFonts w:hint="default" w:ascii="宋体" w:hAnsi="宋体" w:eastAsia="宋体" w:cs="宋体"/>
          <w:sz w:val="24"/>
          <w:szCs w:val="24"/>
        </w:rPr>
      </w:pPr>
      <w:r>
        <w:rPr>
          <w:rFonts w:ascii="宋体" w:hAnsi="宋体" w:eastAsia="宋体" w:cs="宋体"/>
          <w:sz w:val="24"/>
          <w:szCs w:val="24"/>
        </w:rPr>
        <w:t>乙方2（全称）：___________________________（联合体成员供应商或其他合同主体）（如有）</w:t>
      </w:r>
    </w:p>
    <w:p w14:paraId="2C74B4DA">
      <w:pPr>
        <w:pStyle w:val="14"/>
        <w:spacing w:line="360" w:lineRule="auto"/>
        <w:rPr>
          <w:rFonts w:hint="default" w:ascii="宋体" w:hAnsi="宋体" w:eastAsia="宋体" w:cs="宋体"/>
          <w:sz w:val="24"/>
          <w:szCs w:val="24"/>
        </w:rPr>
      </w:pPr>
      <w:r>
        <w:rPr>
          <w:rFonts w:ascii="宋体" w:hAnsi="宋体" w:eastAsia="宋体" w:cs="宋体"/>
          <w:sz w:val="24"/>
          <w:szCs w:val="24"/>
        </w:rPr>
        <w:t>乙方3（全称）：___________________________（联合体成员供应商或其他合同主体）（如有）</w:t>
      </w:r>
    </w:p>
    <w:p w14:paraId="06F82182">
      <w:pPr>
        <w:pStyle w:val="14"/>
        <w:spacing w:line="360" w:lineRule="auto"/>
        <w:rPr>
          <w:rFonts w:hint="default" w:ascii="宋体" w:hAnsi="宋体" w:eastAsia="宋体" w:cs="宋体"/>
          <w:sz w:val="24"/>
          <w:szCs w:val="24"/>
        </w:rPr>
      </w:pPr>
      <w:r>
        <w:rPr>
          <w:rFonts w:ascii="宋体" w:hAnsi="宋体" w:eastAsia="宋体" w:cs="宋体"/>
          <w:sz w:val="24"/>
          <w:szCs w:val="24"/>
        </w:rP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49D97C5F">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1.项目信息</w:t>
      </w:r>
    </w:p>
    <w:p w14:paraId="5F6F2BAB">
      <w:pPr>
        <w:pStyle w:val="14"/>
        <w:spacing w:line="360" w:lineRule="auto"/>
        <w:rPr>
          <w:rFonts w:hint="default" w:ascii="宋体" w:hAnsi="宋体" w:eastAsia="宋体" w:cs="宋体"/>
          <w:sz w:val="24"/>
          <w:szCs w:val="24"/>
        </w:rPr>
      </w:pPr>
      <w:r>
        <w:rPr>
          <w:rFonts w:ascii="宋体" w:hAnsi="宋体" w:eastAsia="宋体" w:cs="宋体"/>
          <w:sz w:val="24"/>
          <w:szCs w:val="24"/>
        </w:rPr>
        <w:t>(1)采购项目名称：___________________________</w:t>
      </w:r>
    </w:p>
    <w:p w14:paraId="5D652846">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采购项目编号：____________________________</w:t>
      </w:r>
    </w:p>
    <w:p w14:paraId="78F8028F">
      <w:pPr>
        <w:pStyle w:val="14"/>
        <w:spacing w:line="360" w:lineRule="auto"/>
        <w:rPr>
          <w:rFonts w:hint="default" w:ascii="宋体" w:hAnsi="宋体" w:eastAsia="宋体" w:cs="宋体"/>
          <w:sz w:val="24"/>
          <w:szCs w:val="24"/>
        </w:rPr>
      </w:pPr>
      <w:r>
        <w:rPr>
          <w:rFonts w:ascii="宋体" w:hAnsi="宋体" w:eastAsia="宋体" w:cs="宋体"/>
          <w:sz w:val="24"/>
          <w:szCs w:val="24"/>
        </w:rPr>
        <w:t>(2)采购计划编号：___________________________</w:t>
      </w:r>
    </w:p>
    <w:p w14:paraId="5D78DF8F">
      <w:pPr>
        <w:pStyle w:val="14"/>
        <w:spacing w:line="360" w:lineRule="auto"/>
        <w:rPr>
          <w:rFonts w:hint="default" w:ascii="宋体" w:hAnsi="宋体" w:eastAsia="宋体" w:cs="宋体"/>
          <w:sz w:val="24"/>
          <w:szCs w:val="24"/>
        </w:rPr>
      </w:pPr>
      <w:r>
        <w:rPr>
          <w:rFonts w:ascii="宋体" w:hAnsi="宋体" w:eastAsia="宋体" w:cs="宋体"/>
          <w:sz w:val="24"/>
          <w:szCs w:val="24"/>
        </w:rPr>
        <w:t>(3)项目内容：</w:t>
      </w:r>
    </w:p>
    <w:p w14:paraId="5AA55553">
      <w:pPr>
        <w:pStyle w:val="14"/>
        <w:spacing w:line="360" w:lineRule="auto"/>
        <w:rPr>
          <w:rFonts w:hint="default" w:ascii="宋体" w:hAnsi="宋体" w:eastAsia="宋体" w:cs="宋体"/>
          <w:sz w:val="24"/>
          <w:szCs w:val="24"/>
        </w:rPr>
      </w:pPr>
      <w:r>
        <w:rPr>
          <w:rFonts w:ascii="宋体" w:hAnsi="宋体" w:eastAsia="宋体" w:cs="宋体"/>
          <w:sz w:val="24"/>
          <w:szCs w:val="24"/>
        </w:rPr>
        <w:t>采购标的及数量（台/套/个/架/组等）：___________________</w:t>
      </w:r>
    </w:p>
    <w:p w14:paraId="6CE51FA0">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品牌： ___________________ 规格型号：___________________</w:t>
      </w:r>
    </w:p>
    <w:p w14:paraId="00CC5AAE">
      <w:pPr>
        <w:pStyle w:val="14"/>
        <w:spacing w:line="360" w:lineRule="auto"/>
        <w:rPr>
          <w:rFonts w:hint="default" w:ascii="宋体" w:hAnsi="宋体" w:eastAsia="宋体" w:cs="宋体"/>
          <w:sz w:val="24"/>
          <w:szCs w:val="24"/>
        </w:rPr>
      </w:pPr>
      <w:r>
        <w:rPr>
          <w:rFonts w:ascii="宋体" w:hAnsi="宋体" w:eastAsia="宋体" w:cs="宋体"/>
          <w:sz w:val="24"/>
          <w:szCs w:val="24"/>
        </w:rPr>
        <w:t>采购标的的技术要求、商务要求具体见附件。</w:t>
      </w:r>
    </w:p>
    <w:p w14:paraId="4A159F88">
      <w:pPr>
        <w:pStyle w:val="14"/>
        <w:spacing w:line="360" w:lineRule="auto"/>
        <w:rPr>
          <w:rFonts w:hint="default" w:ascii="宋体" w:hAnsi="宋体" w:eastAsia="宋体" w:cs="宋体"/>
          <w:sz w:val="24"/>
          <w:szCs w:val="24"/>
        </w:rPr>
      </w:pPr>
      <w:r>
        <w:rPr>
          <w:rFonts w:ascii="宋体" w:hAnsi="宋体" w:eastAsia="宋体" w:cs="宋体"/>
          <w:sz w:val="24"/>
          <w:szCs w:val="24"/>
        </w:rPr>
        <w:t>①涉及信息类产品，请填写该产品关键部件的品牌、型号：</w:t>
      </w:r>
    </w:p>
    <w:p w14:paraId="0A1F7840">
      <w:pPr>
        <w:pStyle w:val="14"/>
        <w:spacing w:line="360" w:lineRule="auto"/>
        <w:rPr>
          <w:rFonts w:hint="default" w:ascii="宋体" w:hAnsi="宋体" w:eastAsia="宋体" w:cs="宋体"/>
          <w:sz w:val="24"/>
          <w:szCs w:val="24"/>
        </w:rPr>
      </w:pPr>
      <w:r>
        <w:rPr>
          <w:rFonts w:ascii="宋体" w:hAnsi="宋体" w:eastAsia="宋体" w:cs="宋体"/>
          <w:sz w:val="24"/>
          <w:szCs w:val="24"/>
        </w:rPr>
        <w:t>标的名称： ___________________</w:t>
      </w:r>
    </w:p>
    <w:p w14:paraId="6BF54419">
      <w:pPr>
        <w:pStyle w:val="14"/>
        <w:spacing w:line="360" w:lineRule="auto"/>
        <w:rPr>
          <w:rFonts w:hint="default" w:ascii="宋体" w:hAnsi="宋体" w:eastAsia="宋体" w:cs="宋体"/>
          <w:sz w:val="24"/>
          <w:szCs w:val="24"/>
        </w:rPr>
      </w:pPr>
      <w:r>
        <w:rPr>
          <w:rFonts w:ascii="宋体" w:hAnsi="宋体" w:eastAsia="宋体" w:cs="宋体"/>
          <w:sz w:val="24"/>
          <w:szCs w:val="24"/>
        </w:rPr>
        <w:t>关键部件： _____________ 品牌：_____________ 型号： ____________</w:t>
      </w:r>
    </w:p>
    <w:p w14:paraId="2E4E149E">
      <w:pPr>
        <w:pStyle w:val="14"/>
        <w:spacing w:line="360" w:lineRule="auto"/>
        <w:rPr>
          <w:rFonts w:hint="default" w:ascii="宋体" w:hAnsi="宋体" w:eastAsia="宋体" w:cs="宋体"/>
          <w:sz w:val="24"/>
          <w:szCs w:val="24"/>
        </w:rPr>
      </w:pPr>
      <w:r>
        <w:rPr>
          <w:rFonts w:ascii="宋体" w:hAnsi="宋体" w:eastAsia="宋体" w:cs="宋体"/>
          <w:sz w:val="24"/>
          <w:szCs w:val="24"/>
        </w:rPr>
        <w:t>关键部件： _____________ 品牌：_____________ 型号： ____________</w:t>
      </w:r>
    </w:p>
    <w:p w14:paraId="2F227E5E">
      <w:pPr>
        <w:pStyle w:val="14"/>
        <w:spacing w:line="360" w:lineRule="auto"/>
        <w:rPr>
          <w:rFonts w:hint="default" w:ascii="宋体" w:hAnsi="宋体" w:eastAsia="宋体" w:cs="宋体"/>
          <w:sz w:val="24"/>
          <w:szCs w:val="24"/>
        </w:rPr>
      </w:pPr>
      <w:r>
        <w:rPr>
          <w:rFonts w:ascii="宋体" w:hAnsi="宋体" w:eastAsia="宋体" w:cs="宋体"/>
          <w:sz w:val="24"/>
          <w:szCs w:val="24"/>
        </w:rPr>
        <w:t>关键部件： _____________ 品牌：_____________ 型号： ____________</w:t>
      </w:r>
    </w:p>
    <w:p w14:paraId="2B99DB4F">
      <w:pPr>
        <w:pStyle w:val="14"/>
        <w:spacing w:line="360" w:lineRule="auto"/>
        <w:rPr>
          <w:rFonts w:hint="default" w:ascii="宋体" w:hAnsi="宋体" w:eastAsia="宋体" w:cs="宋体"/>
          <w:sz w:val="24"/>
          <w:szCs w:val="24"/>
        </w:rPr>
      </w:pPr>
      <w:r>
        <w:rPr>
          <w:rFonts w:ascii="宋体" w:hAnsi="宋体" w:eastAsia="宋体" w:cs="宋体"/>
          <w:sz w:val="24"/>
          <w:szCs w:val="24"/>
        </w:rPr>
        <w:t>（注：关键部件是指财政部会同有关部门发布的政府采购需求标准规定的需要通过国家有关部门指定的测评机构开展的安全可靠测评的软硬件，如CPU芯片、操作系统、数据库等。）</w:t>
      </w:r>
    </w:p>
    <w:p w14:paraId="7EA7126C">
      <w:pPr>
        <w:pStyle w:val="14"/>
        <w:spacing w:line="360" w:lineRule="auto"/>
        <w:rPr>
          <w:rFonts w:hint="default" w:ascii="宋体" w:hAnsi="宋体" w:eastAsia="宋体" w:cs="宋体"/>
          <w:sz w:val="24"/>
          <w:szCs w:val="24"/>
        </w:rPr>
      </w:pPr>
      <w:r>
        <w:rPr>
          <w:rFonts w:ascii="宋体" w:hAnsi="宋体" w:eastAsia="宋体" w:cs="宋体"/>
          <w:sz w:val="24"/>
          <w:szCs w:val="24"/>
        </w:rPr>
        <w:t>②涉及车辆采购，请填写是否属于新能源汽车：</w:t>
      </w:r>
    </w:p>
    <w:p w14:paraId="593B082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是，《政府采购品目分类目录》底级品目名称：__________  数量：__________  金额：__________</w:t>
      </w:r>
    </w:p>
    <w:p w14:paraId="0E46AC40">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否</w:t>
      </w:r>
    </w:p>
    <w:p w14:paraId="7F892202">
      <w:pPr>
        <w:pStyle w:val="14"/>
        <w:spacing w:line="360" w:lineRule="auto"/>
        <w:rPr>
          <w:rFonts w:hint="default" w:ascii="宋体" w:hAnsi="宋体" w:eastAsia="宋体" w:cs="宋体"/>
          <w:sz w:val="24"/>
          <w:szCs w:val="24"/>
        </w:rPr>
      </w:pPr>
      <w:r>
        <w:rPr>
          <w:rFonts w:ascii="宋体" w:hAnsi="宋体" w:eastAsia="宋体" w:cs="宋体"/>
          <w:sz w:val="24"/>
          <w:szCs w:val="24"/>
        </w:rPr>
        <w:t>(4)政府采购组织形式：政府集中采购 部门集中采购 分散采购</w:t>
      </w:r>
    </w:p>
    <w:p w14:paraId="4C46EBAC">
      <w:pPr>
        <w:pStyle w:val="14"/>
        <w:spacing w:line="360" w:lineRule="auto"/>
        <w:rPr>
          <w:rFonts w:hint="default" w:ascii="宋体" w:hAnsi="宋体" w:eastAsia="宋体" w:cs="宋体"/>
          <w:sz w:val="24"/>
          <w:szCs w:val="24"/>
        </w:rPr>
      </w:pPr>
      <w:r>
        <w:rPr>
          <w:rFonts w:ascii="宋体" w:hAnsi="宋体" w:eastAsia="宋体" w:cs="宋体"/>
          <w:sz w:val="24"/>
          <w:szCs w:val="24"/>
        </w:rPr>
        <w:t>(5)政府采购方式：公开招标 邀请招标 竞争性谈判 竞争性磋商询价 单一来源 框架协议 其他：____________________</w:t>
      </w:r>
    </w:p>
    <w:p w14:paraId="0736109F">
      <w:pPr>
        <w:pStyle w:val="14"/>
        <w:spacing w:line="360" w:lineRule="auto"/>
        <w:rPr>
          <w:rFonts w:hint="default" w:ascii="宋体" w:hAnsi="宋体" w:eastAsia="宋体" w:cs="宋体"/>
          <w:sz w:val="24"/>
          <w:szCs w:val="24"/>
        </w:rPr>
      </w:pPr>
      <w:r>
        <w:rPr>
          <w:rFonts w:ascii="宋体" w:hAnsi="宋体" w:eastAsia="宋体" w:cs="宋体"/>
          <w:sz w:val="24"/>
          <w:szCs w:val="24"/>
        </w:rPr>
        <w:t>(6)中标（成交）采购标的制造商是否为中小企业：是否</w:t>
      </w:r>
    </w:p>
    <w:p w14:paraId="643B7616">
      <w:pPr>
        <w:pStyle w:val="14"/>
        <w:spacing w:line="360" w:lineRule="auto"/>
        <w:rPr>
          <w:rFonts w:hint="default" w:ascii="宋体" w:hAnsi="宋体" w:eastAsia="宋体" w:cs="宋体"/>
          <w:sz w:val="24"/>
          <w:szCs w:val="24"/>
        </w:rPr>
      </w:pPr>
      <w:r>
        <w:rPr>
          <w:rFonts w:ascii="宋体" w:hAnsi="宋体" w:eastAsia="宋体" w:cs="宋体"/>
          <w:sz w:val="24"/>
          <w:szCs w:val="24"/>
        </w:rPr>
        <w:t>本合同是否为专门面向中小企业的采购合同（中小企业预留合同）：是否</w:t>
      </w:r>
    </w:p>
    <w:p w14:paraId="4176420D">
      <w:pPr>
        <w:pStyle w:val="14"/>
        <w:spacing w:line="360" w:lineRule="auto"/>
        <w:rPr>
          <w:rFonts w:hint="default" w:ascii="宋体" w:hAnsi="宋体" w:eastAsia="宋体" w:cs="宋体"/>
          <w:sz w:val="24"/>
          <w:szCs w:val="24"/>
        </w:rPr>
      </w:pPr>
      <w:r>
        <w:rPr>
          <w:rFonts w:ascii="宋体" w:hAnsi="宋体" w:eastAsia="宋体" w:cs="宋体"/>
          <w:sz w:val="24"/>
          <w:szCs w:val="24"/>
        </w:rPr>
        <w:t>若本项目不专门面向中小企业采购，是否给予小微企业评审优惠：是否</w:t>
      </w:r>
    </w:p>
    <w:p w14:paraId="18DB1BB9">
      <w:pPr>
        <w:pStyle w:val="14"/>
        <w:spacing w:line="360" w:lineRule="auto"/>
        <w:rPr>
          <w:rFonts w:hint="default" w:ascii="宋体" w:hAnsi="宋体" w:eastAsia="宋体" w:cs="宋体"/>
          <w:sz w:val="24"/>
          <w:szCs w:val="24"/>
        </w:rPr>
      </w:pPr>
      <w:r>
        <w:rPr>
          <w:rFonts w:ascii="宋体" w:hAnsi="宋体" w:eastAsia="宋体" w:cs="宋体"/>
          <w:sz w:val="24"/>
          <w:szCs w:val="24"/>
        </w:rPr>
        <w:t>中标（成交）采购标的制造商是否为残疾人福利性单位：是否</w:t>
      </w:r>
    </w:p>
    <w:p w14:paraId="39101A98">
      <w:pPr>
        <w:pStyle w:val="14"/>
        <w:spacing w:line="360" w:lineRule="auto"/>
        <w:rPr>
          <w:rFonts w:hint="default" w:ascii="宋体" w:hAnsi="宋体" w:eastAsia="宋体" w:cs="宋体"/>
          <w:sz w:val="24"/>
          <w:szCs w:val="24"/>
        </w:rPr>
      </w:pPr>
      <w:r>
        <w:rPr>
          <w:rFonts w:ascii="宋体" w:hAnsi="宋体" w:eastAsia="宋体" w:cs="宋体"/>
          <w:sz w:val="24"/>
          <w:szCs w:val="24"/>
        </w:rPr>
        <w:t>中标（成交）采购标的制造商是否为监狱企业：是否</w:t>
      </w:r>
    </w:p>
    <w:p w14:paraId="5C3B3CCD">
      <w:pPr>
        <w:pStyle w:val="14"/>
        <w:spacing w:line="360" w:lineRule="auto"/>
        <w:rPr>
          <w:rFonts w:hint="default" w:ascii="宋体" w:hAnsi="宋体" w:eastAsia="宋体" w:cs="宋体"/>
          <w:sz w:val="24"/>
          <w:szCs w:val="24"/>
        </w:rPr>
      </w:pPr>
      <w:r>
        <w:rPr>
          <w:rFonts w:ascii="宋体" w:hAnsi="宋体" w:eastAsia="宋体" w:cs="宋体"/>
          <w:sz w:val="24"/>
          <w:szCs w:val="24"/>
        </w:rPr>
        <w:t>(7)合同是否分包：是否</w:t>
      </w:r>
    </w:p>
    <w:p w14:paraId="67D70920">
      <w:pPr>
        <w:pStyle w:val="14"/>
        <w:spacing w:line="360" w:lineRule="auto"/>
        <w:rPr>
          <w:rFonts w:hint="default" w:ascii="宋体" w:hAnsi="宋体" w:eastAsia="宋体" w:cs="宋体"/>
          <w:sz w:val="24"/>
          <w:szCs w:val="24"/>
        </w:rPr>
      </w:pPr>
      <w:r>
        <w:rPr>
          <w:rFonts w:ascii="宋体" w:hAnsi="宋体" w:eastAsia="宋体" w:cs="宋体"/>
          <w:sz w:val="24"/>
          <w:szCs w:val="24"/>
        </w:rPr>
        <w:t>分包主要内容：________________________________________</w:t>
      </w:r>
    </w:p>
    <w:p w14:paraId="4276CE18">
      <w:pPr>
        <w:pStyle w:val="14"/>
        <w:spacing w:line="360" w:lineRule="auto"/>
        <w:rPr>
          <w:rFonts w:hint="default" w:ascii="宋体" w:hAnsi="宋体" w:eastAsia="宋体" w:cs="宋体"/>
          <w:sz w:val="24"/>
          <w:szCs w:val="24"/>
        </w:rPr>
      </w:pPr>
      <w:r>
        <w:rPr>
          <w:rFonts w:ascii="宋体" w:hAnsi="宋体" w:eastAsia="宋体" w:cs="宋体"/>
          <w:sz w:val="24"/>
          <w:szCs w:val="24"/>
        </w:rPr>
        <w:t>分包供应商/制造商名称（如供应商和制造商不同，请分别填写）：</w:t>
      </w:r>
    </w:p>
    <w:p w14:paraId="65D3AB36">
      <w:pPr>
        <w:pStyle w:val="14"/>
        <w:spacing w:line="360" w:lineRule="auto"/>
        <w:rPr>
          <w:rFonts w:hint="default" w:ascii="宋体" w:hAnsi="宋体" w:eastAsia="宋体" w:cs="宋体"/>
          <w:sz w:val="24"/>
          <w:szCs w:val="24"/>
        </w:rPr>
      </w:pPr>
      <w:r>
        <w:rPr>
          <w:rFonts w:ascii="宋体" w:hAnsi="宋体" w:eastAsia="宋体" w:cs="宋体"/>
          <w:sz w:val="24"/>
          <w:szCs w:val="24"/>
        </w:rPr>
        <w:t>________________________________________</w:t>
      </w:r>
    </w:p>
    <w:p w14:paraId="7AE341D6">
      <w:pPr>
        <w:pStyle w:val="14"/>
        <w:spacing w:line="360" w:lineRule="auto"/>
        <w:rPr>
          <w:rFonts w:hint="default" w:ascii="宋体" w:hAnsi="宋体" w:eastAsia="宋体" w:cs="宋体"/>
          <w:sz w:val="24"/>
          <w:szCs w:val="24"/>
        </w:rPr>
      </w:pPr>
      <w:r>
        <w:rPr>
          <w:rFonts w:ascii="宋体" w:hAnsi="宋体" w:eastAsia="宋体" w:cs="宋体"/>
          <w:sz w:val="24"/>
          <w:szCs w:val="24"/>
        </w:rPr>
        <w:t>分包供应商/制造商类型（如果供应商和制造商不同，只填写制造商类型）：</w:t>
      </w:r>
    </w:p>
    <w:p w14:paraId="26F23461">
      <w:pPr>
        <w:pStyle w:val="14"/>
        <w:spacing w:line="360" w:lineRule="auto"/>
        <w:rPr>
          <w:rFonts w:hint="default" w:ascii="宋体" w:hAnsi="宋体" w:eastAsia="宋体" w:cs="宋体"/>
          <w:sz w:val="24"/>
          <w:szCs w:val="24"/>
        </w:rPr>
      </w:pPr>
      <w:r>
        <w:rPr>
          <w:rFonts w:ascii="宋体" w:hAnsi="宋体" w:eastAsia="宋体" w:cs="宋体"/>
          <w:sz w:val="24"/>
          <w:szCs w:val="24"/>
        </w:rPr>
        <w:t>大型企业中型企业小微型企业</w:t>
      </w:r>
    </w:p>
    <w:p w14:paraId="158F7EDF">
      <w:pPr>
        <w:pStyle w:val="14"/>
        <w:spacing w:line="360" w:lineRule="auto"/>
        <w:rPr>
          <w:rFonts w:hint="default" w:ascii="宋体" w:hAnsi="宋体" w:eastAsia="宋体" w:cs="宋体"/>
          <w:sz w:val="24"/>
          <w:szCs w:val="24"/>
        </w:rPr>
      </w:pPr>
      <w:r>
        <w:rPr>
          <w:rFonts w:ascii="宋体" w:hAnsi="宋体" w:eastAsia="宋体" w:cs="宋体"/>
          <w:sz w:val="24"/>
          <w:szCs w:val="24"/>
        </w:rPr>
        <w:t>残疾人福利性单位监狱企业其他</w:t>
      </w:r>
    </w:p>
    <w:p w14:paraId="24ECB445">
      <w:pPr>
        <w:pStyle w:val="14"/>
        <w:spacing w:line="360" w:lineRule="auto"/>
        <w:rPr>
          <w:rFonts w:hint="default" w:ascii="宋体" w:hAnsi="宋体" w:eastAsia="宋体" w:cs="宋体"/>
          <w:sz w:val="24"/>
          <w:szCs w:val="24"/>
        </w:rPr>
      </w:pPr>
      <w:r>
        <w:rPr>
          <w:rFonts w:ascii="宋体" w:hAnsi="宋体" w:eastAsia="宋体" w:cs="宋体"/>
          <w:sz w:val="24"/>
          <w:szCs w:val="24"/>
        </w:rPr>
        <w:t>(8)中标（成交）供应商是否为外商投资企业：是否</w:t>
      </w:r>
    </w:p>
    <w:p w14:paraId="0CC5B495">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外商投资企业类型：全部由外国投资者投资部分由外国投资者投资</w:t>
      </w:r>
    </w:p>
    <w:p w14:paraId="773935AD">
      <w:pPr>
        <w:pStyle w:val="14"/>
        <w:spacing w:line="360" w:lineRule="auto"/>
        <w:rPr>
          <w:rFonts w:hint="default" w:ascii="宋体" w:hAnsi="宋体" w:eastAsia="宋体" w:cs="宋体"/>
          <w:sz w:val="24"/>
          <w:szCs w:val="24"/>
        </w:rPr>
      </w:pPr>
      <w:r>
        <w:rPr>
          <w:rFonts w:ascii="宋体" w:hAnsi="宋体" w:eastAsia="宋体" w:cs="宋体"/>
          <w:sz w:val="24"/>
          <w:szCs w:val="24"/>
        </w:rPr>
        <w:t>（9）是否涉及进口产品：</w:t>
      </w:r>
    </w:p>
    <w:p w14:paraId="3D0D9386">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是，《政府采购品目分类目录》底级品目名称：__________  金额：__________</w:t>
      </w:r>
    </w:p>
    <w:p w14:paraId="2C5302F9">
      <w:pPr>
        <w:pStyle w:val="14"/>
        <w:spacing w:line="360" w:lineRule="auto"/>
        <w:ind w:firstLine="1260"/>
        <w:rPr>
          <w:rFonts w:hint="default" w:ascii="宋体" w:hAnsi="宋体" w:eastAsia="宋体" w:cs="宋体"/>
          <w:sz w:val="24"/>
          <w:szCs w:val="24"/>
        </w:rPr>
      </w:pPr>
      <w:r>
        <w:rPr>
          <w:rFonts w:ascii="宋体" w:hAnsi="宋体" w:eastAsia="宋体" w:cs="宋体"/>
          <w:sz w:val="24"/>
          <w:szCs w:val="24"/>
        </w:rPr>
        <w:t>国别：__________  品牌：__________  规格型号__________</w:t>
      </w:r>
    </w:p>
    <w:p w14:paraId="7FC6C963">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 xml:space="preserve"> 否</w:t>
      </w:r>
    </w:p>
    <w:p w14:paraId="51861967">
      <w:pPr>
        <w:pStyle w:val="14"/>
        <w:spacing w:line="360" w:lineRule="auto"/>
        <w:rPr>
          <w:rFonts w:hint="default" w:ascii="宋体" w:hAnsi="宋体" w:eastAsia="宋体" w:cs="宋体"/>
          <w:sz w:val="24"/>
          <w:szCs w:val="24"/>
        </w:rPr>
      </w:pPr>
      <w:r>
        <w:rPr>
          <w:rFonts w:ascii="宋体" w:hAnsi="宋体" w:eastAsia="宋体" w:cs="宋体"/>
          <w:sz w:val="24"/>
          <w:szCs w:val="24"/>
        </w:rPr>
        <w:t>（10）是否涉及节能产品：</w:t>
      </w:r>
    </w:p>
    <w:p w14:paraId="5D185689">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是，《节能产品政府采购品目清单》的底级品目名称：__________</w:t>
      </w:r>
    </w:p>
    <w:p w14:paraId="18CD3C38">
      <w:pPr>
        <w:pStyle w:val="14"/>
        <w:spacing w:line="360" w:lineRule="auto"/>
        <w:ind w:firstLine="1260"/>
        <w:rPr>
          <w:rFonts w:hint="default" w:ascii="宋体" w:hAnsi="宋体" w:eastAsia="宋体" w:cs="宋体"/>
          <w:sz w:val="24"/>
          <w:szCs w:val="24"/>
        </w:rPr>
      </w:pPr>
      <w:r>
        <w:rPr>
          <w:rFonts w:ascii="宋体" w:hAnsi="宋体" w:eastAsia="宋体" w:cs="宋体"/>
          <w:sz w:val="24"/>
          <w:szCs w:val="24"/>
        </w:rPr>
        <w:t xml:space="preserve"> 强制采购         优先采购</w:t>
      </w:r>
    </w:p>
    <w:p w14:paraId="09A5B801">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 xml:space="preserve"> 否</w:t>
      </w:r>
    </w:p>
    <w:p w14:paraId="6A17106F">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是否涉及环境标志产品：</w:t>
      </w:r>
    </w:p>
    <w:p w14:paraId="4D078438">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是，《环境标志产品政府采购品目清单》的底级品目名称：__________</w:t>
      </w:r>
    </w:p>
    <w:p w14:paraId="79663403">
      <w:pPr>
        <w:pStyle w:val="14"/>
        <w:spacing w:line="360" w:lineRule="auto"/>
        <w:ind w:firstLine="1260"/>
        <w:rPr>
          <w:rFonts w:hint="default" w:ascii="宋体" w:hAnsi="宋体" w:eastAsia="宋体" w:cs="宋体"/>
          <w:sz w:val="24"/>
          <w:szCs w:val="24"/>
        </w:rPr>
      </w:pPr>
      <w:r>
        <w:rPr>
          <w:rFonts w:ascii="宋体" w:hAnsi="宋体" w:eastAsia="宋体" w:cs="宋体"/>
          <w:sz w:val="24"/>
          <w:szCs w:val="24"/>
        </w:rPr>
        <w:t xml:space="preserve"> 强制采购         优先采购</w:t>
      </w:r>
    </w:p>
    <w:p w14:paraId="14831170">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 xml:space="preserve"> 否</w:t>
      </w:r>
    </w:p>
    <w:p w14:paraId="0A016953">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是否涉及绿色产品：</w:t>
      </w:r>
    </w:p>
    <w:p w14:paraId="4EFDB1E5">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是，绿色产品政府采购相关政策确定的底级品目名称：__________</w:t>
      </w:r>
    </w:p>
    <w:p w14:paraId="08E02EDE">
      <w:pPr>
        <w:pStyle w:val="14"/>
        <w:spacing w:line="360" w:lineRule="auto"/>
        <w:ind w:firstLine="1260"/>
        <w:rPr>
          <w:rFonts w:hint="default" w:ascii="宋体" w:hAnsi="宋体" w:eastAsia="宋体" w:cs="宋体"/>
          <w:sz w:val="24"/>
          <w:szCs w:val="24"/>
        </w:rPr>
      </w:pPr>
      <w:r>
        <w:rPr>
          <w:rFonts w:ascii="宋体" w:hAnsi="宋体" w:eastAsia="宋体" w:cs="宋体"/>
          <w:sz w:val="24"/>
          <w:szCs w:val="24"/>
        </w:rPr>
        <w:t xml:space="preserve"> 强制采购         优先采购</w:t>
      </w:r>
    </w:p>
    <w:p w14:paraId="43F507D6">
      <w:pPr>
        <w:pStyle w:val="14"/>
        <w:spacing w:line="360" w:lineRule="auto"/>
        <w:ind w:firstLine="840"/>
        <w:rPr>
          <w:rFonts w:hint="default" w:ascii="宋体" w:hAnsi="宋体" w:eastAsia="宋体" w:cs="宋体"/>
          <w:sz w:val="24"/>
          <w:szCs w:val="24"/>
        </w:rPr>
      </w:pPr>
      <w:r>
        <w:rPr>
          <w:rFonts w:ascii="宋体" w:hAnsi="宋体" w:eastAsia="宋体" w:cs="宋体"/>
          <w:sz w:val="24"/>
          <w:szCs w:val="24"/>
        </w:rPr>
        <w:t xml:space="preserve"> 否</w:t>
      </w:r>
    </w:p>
    <w:p w14:paraId="3E8D3CFF">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(11)涉及商品包装和快递包装的，是否参考《商品包装政府采购需求标准（试行）》、《快递包装政府采购需求标准（试行）》明确产品及相关快递服务的具体包装要求：</w:t>
      </w:r>
    </w:p>
    <w:p w14:paraId="47B48F04">
      <w:pPr>
        <w:pStyle w:val="14"/>
        <w:spacing w:line="360" w:lineRule="auto"/>
        <w:rPr>
          <w:rFonts w:hint="default" w:ascii="宋体" w:hAnsi="宋体" w:eastAsia="宋体" w:cs="宋体"/>
          <w:sz w:val="24"/>
          <w:szCs w:val="24"/>
        </w:rPr>
      </w:pPr>
      <w:r>
        <w:rPr>
          <w:rFonts w:ascii="宋体" w:hAnsi="宋体" w:eastAsia="宋体" w:cs="宋体"/>
          <w:sz w:val="24"/>
          <w:szCs w:val="24"/>
        </w:rPr>
        <w:t>是         否        不涉及</w:t>
      </w:r>
    </w:p>
    <w:p w14:paraId="60CBFD02">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2.合同金额</w:t>
      </w:r>
    </w:p>
    <w:p w14:paraId="7E05CFB3">
      <w:pPr>
        <w:pStyle w:val="14"/>
        <w:spacing w:line="360" w:lineRule="auto"/>
        <w:rPr>
          <w:rFonts w:hint="default" w:ascii="宋体" w:hAnsi="宋体" w:eastAsia="宋体" w:cs="宋体"/>
          <w:sz w:val="24"/>
          <w:szCs w:val="24"/>
        </w:rPr>
      </w:pPr>
      <w:r>
        <w:rPr>
          <w:rFonts w:ascii="宋体" w:hAnsi="宋体" w:eastAsia="宋体" w:cs="宋体"/>
          <w:sz w:val="24"/>
          <w:szCs w:val="24"/>
        </w:rPr>
        <w:t>（1）合同金额小写：____________________</w:t>
      </w:r>
    </w:p>
    <w:p w14:paraId="10EFFB2D">
      <w:pPr>
        <w:pStyle w:val="14"/>
        <w:spacing w:line="360" w:lineRule="auto"/>
        <w:ind w:firstLine="1980"/>
        <w:rPr>
          <w:rFonts w:hint="default" w:ascii="宋体" w:hAnsi="宋体" w:eastAsia="宋体" w:cs="宋体"/>
          <w:sz w:val="24"/>
          <w:szCs w:val="24"/>
        </w:rPr>
      </w:pPr>
      <w:r>
        <w:rPr>
          <w:rFonts w:ascii="宋体" w:hAnsi="宋体" w:eastAsia="宋体" w:cs="宋体"/>
          <w:sz w:val="24"/>
          <w:szCs w:val="24"/>
        </w:rPr>
        <w:t>大写：____________________</w:t>
      </w:r>
    </w:p>
    <w:p w14:paraId="61DDC1EC">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分包金额（如有）小写：____________________</w:t>
      </w:r>
    </w:p>
    <w:p w14:paraId="769E272E">
      <w:pPr>
        <w:pStyle w:val="14"/>
        <w:spacing w:line="360" w:lineRule="auto"/>
        <w:ind w:firstLine="2820"/>
        <w:rPr>
          <w:rFonts w:hint="default" w:ascii="宋体" w:hAnsi="宋体" w:eastAsia="宋体" w:cs="宋体"/>
          <w:sz w:val="24"/>
          <w:szCs w:val="24"/>
        </w:rPr>
      </w:pPr>
      <w:r>
        <w:rPr>
          <w:rFonts w:ascii="宋体" w:hAnsi="宋体" w:eastAsia="宋体" w:cs="宋体"/>
          <w:sz w:val="24"/>
          <w:szCs w:val="24"/>
        </w:rPr>
        <w:t>大写：____________________</w:t>
      </w:r>
    </w:p>
    <w:p w14:paraId="42CFD247">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（注：固定单价合同应填写单价和最高限价）</w:t>
      </w:r>
    </w:p>
    <w:p w14:paraId="0A63F0B2">
      <w:pPr>
        <w:pStyle w:val="14"/>
        <w:spacing w:line="360" w:lineRule="auto"/>
        <w:rPr>
          <w:rFonts w:hint="default" w:ascii="宋体" w:hAnsi="宋体" w:eastAsia="宋体" w:cs="宋体"/>
          <w:sz w:val="24"/>
          <w:szCs w:val="24"/>
        </w:rPr>
      </w:pPr>
      <w:r>
        <w:rPr>
          <w:rFonts w:ascii="宋体" w:hAnsi="宋体" w:eastAsia="宋体" w:cs="宋体"/>
          <w:sz w:val="24"/>
          <w:szCs w:val="24"/>
        </w:rPr>
        <w:t>（2）合同定价方式（采用组合定价方式的，可以勾选多项）：</w:t>
      </w:r>
    </w:p>
    <w:p w14:paraId="23582965">
      <w:pPr>
        <w:pStyle w:val="14"/>
        <w:spacing w:line="360" w:lineRule="auto"/>
        <w:rPr>
          <w:rFonts w:hint="default" w:ascii="宋体" w:hAnsi="宋体" w:eastAsia="宋体" w:cs="宋体"/>
          <w:sz w:val="24"/>
          <w:szCs w:val="24"/>
        </w:rPr>
      </w:pPr>
      <w:r>
        <w:rPr>
          <w:rFonts w:ascii="宋体" w:hAnsi="宋体" w:eastAsia="宋体" w:cs="宋体"/>
          <w:sz w:val="24"/>
          <w:szCs w:val="24"/>
        </w:rPr>
        <w:t>固定总价固定单价成本补偿绩效激励其他__________</w:t>
      </w:r>
    </w:p>
    <w:p w14:paraId="15CCF874">
      <w:pPr>
        <w:pStyle w:val="14"/>
        <w:spacing w:line="360" w:lineRule="auto"/>
        <w:rPr>
          <w:rFonts w:hint="default" w:ascii="宋体" w:hAnsi="宋体" w:eastAsia="宋体" w:cs="宋体"/>
          <w:sz w:val="24"/>
          <w:szCs w:val="24"/>
        </w:rPr>
      </w:pPr>
      <w:r>
        <w:rPr>
          <w:rFonts w:ascii="宋体" w:hAnsi="宋体" w:eastAsia="宋体" w:cs="宋体"/>
          <w:sz w:val="24"/>
          <w:szCs w:val="24"/>
        </w:rPr>
        <w:t>（3）付款方式（按项目实际勾选填写）：</w:t>
      </w:r>
    </w:p>
    <w:p w14:paraId="2B9E6E1C">
      <w:pPr>
        <w:pStyle w:val="14"/>
        <w:spacing w:line="360" w:lineRule="auto"/>
        <w:rPr>
          <w:rFonts w:hint="default" w:ascii="宋体" w:hAnsi="宋体" w:eastAsia="宋体" w:cs="宋体"/>
          <w:sz w:val="24"/>
          <w:szCs w:val="24"/>
        </w:rPr>
      </w:pPr>
      <w:r>
        <w:rPr>
          <w:rFonts w:ascii="宋体" w:hAnsi="宋体" w:eastAsia="宋体" w:cs="宋体"/>
          <w:sz w:val="24"/>
          <w:szCs w:val="24"/>
        </w:rPr>
        <w:t>全额付款：_______（应明确一次性支付合同款项的条件）_____________</w:t>
      </w:r>
    </w:p>
    <w:p w14:paraId="28156472">
      <w:pPr>
        <w:pStyle w:val="14"/>
        <w:spacing w:line="360" w:lineRule="auto"/>
        <w:rPr>
          <w:rFonts w:hint="default" w:ascii="宋体" w:hAnsi="宋体" w:eastAsia="宋体" w:cs="宋体"/>
          <w:sz w:val="24"/>
          <w:szCs w:val="24"/>
        </w:rPr>
      </w:pPr>
      <w:r>
        <w:rPr>
          <w:rFonts w:ascii="宋体" w:hAnsi="宋体" w:eastAsia="宋体" w:cs="宋体"/>
          <w:sz w:val="24"/>
          <w:szCs w:val="24"/>
        </w:rPr>
        <w:t>分期付款：_______（应明确分期支付合同款项的各期比例和支付条件，各期支付条件应与分期履约验收情况挂钩）_____________，其中涉及预付款的：_______ （应明确预付款的支付比例和支付条件）</w:t>
      </w:r>
    </w:p>
    <w:p w14:paraId="6821B29B">
      <w:pPr>
        <w:pStyle w:val="14"/>
        <w:spacing w:line="360" w:lineRule="auto"/>
        <w:rPr>
          <w:rFonts w:hint="default" w:ascii="宋体" w:hAnsi="宋体" w:eastAsia="宋体" w:cs="宋体"/>
          <w:sz w:val="24"/>
          <w:szCs w:val="24"/>
        </w:rPr>
      </w:pPr>
      <w:r>
        <w:rPr>
          <w:rFonts w:ascii="宋体" w:hAnsi="宋体" w:eastAsia="宋体" w:cs="宋体"/>
          <w:sz w:val="24"/>
          <w:szCs w:val="24"/>
        </w:rPr>
        <w:t>成本补偿：_______（应明确按照成本补偿方式的支付方式和支付条件）___________</w:t>
      </w:r>
    </w:p>
    <w:p w14:paraId="1DDC1B72">
      <w:pPr>
        <w:pStyle w:val="14"/>
        <w:spacing w:line="360" w:lineRule="auto"/>
        <w:rPr>
          <w:rFonts w:hint="default" w:ascii="宋体" w:hAnsi="宋体" w:eastAsia="宋体" w:cs="宋体"/>
          <w:sz w:val="24"/>
          <w:szCs w:val="24"/>
        </w:rPr>
      </w:pPr>
      <w:r>
        <w:rPr>
          <w:rFonts w:ascii="宋体" w:hAnsi="宋体" w:eastAsia="宋体" w:cs="宋体"/>
          <w:sz w:val="24"/>
          <w:szCs w:val="24"/>
        </w:rPr>
        <w:t>绩效激励：_______（应明确按照绩效激励方式的支付方式和支付条件）_________</w:t>
      </w:r>
    </w:p>
    <w:p w14:paraId="343F508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3.合同履行</w:t>
      </w:r>
    </w:p>
    <w:p w14:paraId="55BF3F40">
      <w:pPr>
        <w:pStyle w:val="14"/>
        <w:spacing w:line="360" w:lineRule="auto"/>
        <w:rPr>
          <w:rFonts w:hint="default" w:ascii="宋体" w:hAnsi="宋体" w:eastAsia="宋体" w:cs="宋体"/>
          <w:sz w:val="24"/>
          <w:szCs w:val="24"/>
        </w:rPr>
      </w:pPr>
      <w:r>
        <w:rPr>
          <w:rFonts w:ascii="宋体" w:hAnsi="宋体" w:eastAsia="宋体" w:cs="宋体"/>
          <w:sz w:val="24"/>
          <w:szCs w:val="24"/>
        </w:rPr>
        <w:t>（1）起始日期：____________________年____________________月 ____________________日 ，完成日期：____________________年____________________月____________________日。</w:t>
      </w:r>
    </w:p>
    <w:p w14:paraId="1CC8F43E">
      <w:pPr>
        <w:pStyle w:val="14"/>
        <w:spacing w:line="360" w:lineRule="auto"/>
        <w:rPr>
          <w:rFonts w:hint="default" w:ascii="宋体" w:hAnsi="宋体" w:eastAsia="宋体" w:cs="宋体"/>
          <w:sz w:val="24"/>
          <w:szCs w:val="24"/>
        </w:rPr>
      </w:pPr>
      <w:r>
        <w:rPr>
          <w:rFonts w:ascii="宋体" w:hAnsi="宋体" w:eastAsia="宋体" w:cs="宋体"/>
          <w:sz w:val="24"/>
          <w:szCs w:val="24"/>
        </w:rPr>
        <w:t>（2）履约地点：____________________</w:t>
      </w:r>
    </w:p>
    <w:p w14:paraId="7B7854FE">
      <w:pPr>
        <w:pStyle w:val="14"/>
        <w:spacing w:line="360" w:lineRule="auto"/>
        <w:rPr>
          <w:rFonts w:hint="default" w:ascii="宋体" w:hAnsi="宋体" w:eastAsia="宋体" w:cs="宋体"/>
          <w:sz w:val="24"/>
          <w:szCs w:val="24"/>
        </w:rPr>
      </w:pPr>
      <w:r>
        <w:rPr>
          <w:rFonts w:ascii="宋体" w:hAnsi="宋体" w:eastAsia="宋体" w:cs="宋体"/>
          <w:sz w:val="24"/>
          <w:szCs w:val="24"/>
        </w:rPr>
        <w:t>（3）履约担保：</w:t>
      </w:r>
    </w:p>
    <w:p w14:paraId="6EF94202">
      <w:pPr>
        <w:pStyle w:val="14"/>
        <w:spacing w:line="360" w:lineRule="auto"/>
        <w:rPr>
          <w:rFonts w:hint="default" w:ascii="宋体" w:hAnsi="宋体" w:eastAsia="宋体" w:cs="宋体"/>
          <w:sz w:val="24"/>
          <w:szCs w:val="24"/>
        </w:rPr>
      </w:pPr>
      <w:r>
        <w:rPr>
          <w:rFonts w:ascii="宋体" w:hAnsi="宋体" w:eastAsia="宋体" w:cs="宋体"/>
          <w:sz w:val="24"/>
          <w:szCs w:val="24"/>
        </w:rPr>
        <w:t>是否收取履约保证金：是 否</w:t>
      </w:r>
    </w:p>
    <w:p w14:paraId="64ED53E2">
      <w:pPr>
        <w:pStyle w:val="14"/>
        <w:spacing w:line="360" w:lineRule="auto"/>
        <w:rPr>
          <w:rFonts w:hint="default" w:ascii="宋体" w:hAnsi="宋体" w:eastAsia="宋体" w:cs="宋体"/>
          <w:sz w:val="24"/>
          <w:szCs w:val="24"/>
        </w:rPr>
      </w:pPr>
      <w:r>
        <w:rPr>
          <w:rFonts w:ascii="宋体" w:hAnsi="宋体" w:eastAsia="宋体" w:cs="宋体"/>
          <w:sz w:val="24"/>
          <w:szCs w:val="24"/>
        </w:rPr>
        <w:t>收取履约保证金形式：____________________</w:t>
      </w:r>
    </w:p>
    <w:p w14:paraId="66E2DBD4">
      <w:pPr>
        <w:pStyle w:val="14"/>
        <w:spacing w:line="360" w:lineRule="auto"/>
        <w:rPr>
          <w:rFonts w:hint="default" w:ascii="宋体" w:hAnsi="宋体" w:eastAsia="宋体" w:cs="宋体"/>
          <w:sz w:val="24"/>
          <w:szCs w:val="24"/>
        </w:rPr>
      </w:pPr>
      <w:r>
        <w:rPr>
          <w:rFonts w:ascii="宋体" w:hAnsi="宋体" w:eastAsia="宋体" w:cs="宋体"/>
          <w:sz w:val="24"/>
          <w:szCs w:val="24"/>
        </w:rPr>
        <w:t>收取履约保证金金额：____________________</w:t>
      </w:r>
    </w:p>
    <w:p w14:paraId="5FA37693">
      <w:pPr>
        <w:pStyle w:val="14"/>
        <w:spacing w:line="360" w:lineRule="auto"/>
        <w:rPr>
          <w:rFonts w:hint="default" w:ascii="宋体" w:hAnsi="宋体" w:eastAsia="宋体" w:cs="宋体"/>
          <w:sz w:val="24"/>
          <w:szCs w:val="24"/>
        </w:rPr>
      </w:pPr>
      <w:r>
        <w:rPr>
          <w:rFonts w:ascii="宋体" w:hAnsi="宋体" w:eastAsia="宋体" w:cs="宋体"/>
          <w:sz w:val="24"/>
          <w:szCs w:val="24"/>
        </w:rPr>
        <w:t>履约担保期限：____________________</w:t>
      </w:r>
    </w:p>
    <w:p w14:paraId="61F8B09B">
      <w:pPr>
        <w:pStyle w:val="14"/>
        <w:spacing w:line="360" w:lineRule="auto"/>
        <w:ind w:firstLine="510"/>
        <w:rPr>
          <w:rFonts w:hint="default" w:ascii="宋体" w:hAnsi="宋体" w:eastAsia="宋体" w:cs="宋体"/>
          <w:sz w:val="24"/>
          <w:szCs w:val="24"/>
        </w:rPr>
      </w:pPr>
      <w:r>
        <w:rPr>
          <w:rFonts w:ascii="宋体" w:hAnsi="宋体" w:eastAsia="宋体" w:cs="宋体"/>
          <w:sz w:val="24"/>
          <w:szCs w:val="24"/>
        </w:rPr>
        <w:t>履约担保期限：____________________</w:t>
      </w:r>
    </w:p>
    <w:p w14:paraId="08425A7F">
      <w:pPr>
        <w:pStyle w:val="14"/>
        <w:spacing w:line="360" w:lineRule="auto"/>
        <w:rPr>
          <w:rFonts w:hint="default" w:ascii="宋体" w:hAnsi="宋体" w:eastAsia="宋体" w:cs="宋体"/>
          <w:sz w:val="24"/>
          <w:szCs w:val="24"/>
        </w:rPr>
      </w:pPr>
      <w:r>
        <w:rPr>
          <w:rFonts w:ascii="宋体" w:hAnsi="宋体" w:eastAsia="宋体" w:cs="宋体"/>
          <w:sz w:val="24"/>
          <w:szCs w:val="24"/>
        </w:rPr>
        <w:t>（4）分期履行要求：____________________</w:t>
      </w:r>
    </w:p>
    <w:p w14:paraId="11CE6F76">
      <w:pPr>
        <w:pStyle w:val="14"/>
        <w:spacing w:line="360" w:lineRule="auto"/>
        <w:rPr>
          <w:rFonts w:hint="default" w:ascii="宋体" w:hAnsi="宋体" w:eastAsia="宋体" w:cs="宋体"/>
          <w:sz w:val="24"/>
          <w:szCs w:val="24"/>
        </w:rPr>
      </w:pPr>
      <w:r>
        <w:rPr>
          <w:rFonts w:ascii="宋体" w:hAnsi="宋体" w:eastAsia="宋体" w:cs="宋体"/>
          <w:sz w:val="24"/>
          <w:szCs w:val="24"/>
        </w:rPr>
        <w:t>（5）风险处置措施和替代方案：____________________</w:t>
      </w:r>
    </w:p>
    <w:p w14:paraId="4E5BE368">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4.合同验收</w:t>
      </w:r>
    </w:p>
    <w:p w14:paraId="5192C67F">
      <w:pPr>
        <w:pStyle w:val="14"/>
        <w:spacing w:line="360" w:lineRule="auto"/>
        <w:rPr>
          <w:rFonts w:hint="default" w:ascii="宋体" w:hAnsi="宋体" w:eastAsia="宋体" w:cs="宋体"/>
          <w:sz w:val="24"/>
          <w:szCs w:val="24"/>
        </w:rPr>
      </w:pPr>
      <w:r>
        <w:rPr>
          <w:rFonts w:ascii="宋体" w:hAnsi="宋体" w:eastAsia="宋体" w:cs="宋体"/>
          <w:sz w:val="24"/>
          <w:szCs w:val="24"/>
        </w:rPr>
        <w:t>（1）验收组织方式：自行验收委托第三方验收</w:t>
      </w:r>
    </w:p>
    <w:p w14:paraId="40E3F231">
      <w:pPr>
        <w:pStyle w:val="14"/>
        <w:spacing w:line="360" w:lineRule="auto"/>
        <w:rPr>
          <w:rFonts w:hint="default" w:ascii="宋体" w:hAnsi="宋体" w:eastAsia="宋体" w:cs="宋体"/>
          <w:sz w:val="24"/>
          <w:szCs w:val="24"/>
        </w:rPr>
      </w:pPr>
      <w:r>
        <w:rPr>
          <w:rFonts w:ascii="宋体" w:hAnsi="宋体" w:eastAsia="宋体" w:cs="宋体"/>
          <w:sz w:val="24"/>
          <w:szCs w:val="24"/>
        </w:rPr>
        <w:t>验收主体：____________________</w:t>
      </w:r>
    </w:p>
    <w:p w14:paraId="2A64CFE9">
      <w:pPr>
        <w:pStyle w:val="14"/>
        <w:spacing w:line="360" w:lineRule="auto"/>
        <w:rPr>
          <w:rFonts w:hint="default" w:ascii="宋体" w:hAnsi="宋体" w:eastAsia="宋体" w:cs="宋体"/>
          <w:sz w:val="24"/>
          <w:szCs w:val="24"/>
        </w:rPr>
      </w:pPr>
      <w:r>
        <w:rPr>
          <w:rFonts w:ascii="宋体" w:hAnsi="宋体" w:eastAsia="宋体" w:cs="宋体"/>
          <w:sz w:val="24"/>
          <w:szCs w:val="24"/>
        </w:rPr>
        <w:t>是否邀请本项目的其他供应商参加验收：是否</w:t>
      </w:r>
    </w:p>
    <w:p w14:paraId="4C70CBEA">
      <w:pPr>
        <w:pStyle w:val="14"/>
        <w:spacing w:line="360" w:lineRule="auto"/>
        <w:rPr>
          <w:rFonts w:hint="default" w:ascii="宋体" w:hAnsi="宋体" w:eastAsia="宋体" w:cs="宋体"/>
          <w:sz w:val="24"/>
          <w:szCs w:val="24"/>
        </w:rPr>
      </w:pPr>
      <w:r>
        <w:rPr>
          <w:rFonts w:ascii="宋体" w:hAnsi="宋体" w:eastAsia="宋体" w:cs="宋体"/>
          <w:sz w:val="24"/>
          <w:szCs w:val="24"/>
        </w:rPr>
        <w:t>是否邀请专家参加验收：是否</w:t>
      </w:r>
    </w:p>
    <w:p w14:paraId="6DBA7400">
      <w:pPr>
        <w:pStyle w:val="14"/>
        <w:spacing w:line="360" w:lineRule="auto"/>
        <w:rPr>
          <w:rFonts w:hint="default" w:ascii="宋体" w:hAnsi="宋体" w:eastAsia="宋体" w:cs="宋体"/>
          <w:sz w:val="24"/>
          <w:szCs w:val="24"/>
        </w:rPr>
      </w:pPr>
      <w:r>
        <w:rPr>
          <w:rFonts w:ascii="宋体" w:hAnsi="宋体" w:eastAsia="宋体" w:cs="宋体"/>
          <w:sz w:val="24"/>
          <w:szCs w:val="24"/>
        </w:rPr>
        <w:t>是否邀请服务对象参加验收：是否</w:t>
      </w:r>
    </w:p>
    <w:p w14:paraId="61448F0A">
      <w:pPr>
        <w:pStyle w:val="14"/>
        <w:spacing w:line="360" w:lineRule="auto"/>
        <w:rPr>
          <w:rFonts w:hint="default" w:ascii="宋体" w:hAnsi="宋体" w:eastAsia="宋体" w:cs="宋体"/>
          <w:sz w:val="24"/>
          <w:szCs w:val="24"/>
        </w:rPr>
      </w:pPr>
      <w:r>
        <w:rPr>
          <w:rFonts w:ascii="宋体" w:hAnsi="宋体" w:eastAsia="宋体" w:cs="宋体"/>
          <w:sz w:val="24"/>
          <w:szCs w:val="24"/>
        </w:rPr>
        <w:t>是否邀请第三方检测机构参加验收：是否</w:t>
      </w:r>
    </w:p>
    <w:p w14:paraId="26B97763">
      <w:pPr>
        <w:pStyle w:val="14"/>
        <w:spacing w:line="360" w:lineRule="auto"/>
        <w:rPr>
          <w:rFonts w:hint="default" w:ascii="宋体" w:hAnsi="宋体" w:eastAsia="宋体" w:cs="宋体"/>
          <w:sz w:val="24"/>
          <w:szCs w:val="24"/>
        </w:rPr>
      </w:pPr>
      <w:r>
        <w:rPr>
          <w:rFonts w:ascii="宋体" w:hAnsi="宋体" w:eastAsia="宋体" w:cs="宋体"/>
          <w:sz w:val="24"/>
          <w:szCs w:val="24"/>
        </w:rPr>
        <w:t>是否进行抽查检测： 是，抽查比例：__________%否</w:t>
      </w:r>
    </w:p>
    <w:p w14:paraId="09B196C0">
      <w:pPr>
        <w:pStyle w:val="14"/>
        <w:spacing w:line="360" w:lineRule="auto"/>
        <w:rPr>
          <w:rFonts w:hint="default" w:ascii="宋体" w:hAnsi="宋体" w:eastAsia="宋体" w:cs="宋体"/>
          <w:sz w:val="24"/>
          <w:szCs w:val="24"/>
        </w:rPr>
      </w:pPr>
      <w:r>
        <w:rPr>
          <w:rFonts w:ascii="宋体" w:hAnsi="宋体" w:eastAsia="宋体" w:cs="宋体"/>
          <w:sz w:val="24"/>
          <w:szCs w:val="24"/>
        </w:rPr>
        <w:t>是否存在破坏性检测： 是，__________否</w:t>
      </w:r>
    </w:p>
    <w:p w14:paraId="51CEF65C">
      <w:pPr>
        <w:pStyle w:val="14"/>
        <w:spacing w:line="360" w:lineRule="auto"/>
        <w:rPr>
          <w:rFonts w:hint="default" w:ascii="宋体" w:hAnsi="宋体" w:eastAsia="宋体" w:cs="宋体"/>
          <w:sz w:val="24"/>
          <w:szCs w:val="24"/>
        </w:rPr>
      </w:pPr>
      <w:r>
        <w:rPr>
          <w:rFonts w:ascii="宋体" w:hAnsi="宋体" w:eastAsia="宋体" w:cs="宋体"/>
          <w:sz w:val="24"/>
          <w:szCs w:val="24"/>
        </w:rPr>
        <w:t>验收组织的其他事项：____________________</w:t>
      </w:r>
    </w:p>
    <w:p w14:paraId="239C6754">
      <w:pPr>
        <w:pStyle w:val="14"/>
        <w:spacing w:line="360" w:lineRule="auto"/>
        <w:rPr>
          <w:rFonts w:hint="default" w:ascii="宋体" w:hAnsi="宋体" w:eastAsia="宋体" w:cs="宋体"/>
          <w:sz w:val="24"/>
          <w:szCs w:val="24"/>
        </w:rPr>
      </w:pPr>
      <w:r>
        <w:rPr>
          <w:rFonts w:ascii="宋体" w:hAnsi="宋体" w:eastAsia="宋体" w:cs="宋体"/>
          <w:sz w:val="24"/>
          <w:szCs w:val="24"/>
        </w:rPr>
        <w:t>（2）履约验收时间：计划于何时验收/供应商提出验收申请之日起_______日内组织验收</w:t>
      </w:r>
    </w:p>
    <w:p w14:paraId="3B9B9737">
      <w:pPr>
        <w:pStyle w:val="14"/>
        <w:spacing w:line="360" w:lineRule="auto"/>
        <w:rPr>
          <w:rFonts w:hint="default" w:ascii="宋体" w:hAnsi="宋体" w:eastAsia="宋体" w:cs="宋体"/>
          <w:sz w:val="24"/>
          <w:szCs w:val="24"/>
        </w:rPr>
      </w:pPr>
      <w:r>
        <w:rPr>
          <w:rFonts w:ascii="宋体" w:hAnsi="宋体" w:eastAsia="宋体" w:cs="宋体"/>
          <w:sz w:val="24"/>
          <w:szCs w:val="24"/>
        </w:rPr>
        <w:t>（3）履约验收方式：一次性验收分期/分项验收：__________</w:t>
      </w:r>
    </w:p>
    <w:p w14:paraId="16D5BA1F">
      <w:pPr>
        <w:pStyle w:val="14"/>
        <w:spacing w:line="360" w:lineRule="auto"/>
        <w:rPr>
          <w:rFonts w:hint="default" w:ascii="宋体" w:hAnsi="宋体" w:eastAsia="宋体" w:cs="宋体"/>
          <w:sz w:val="24"/>
          <w:szCs w:val="24"/>
        </w:rPr>
      </w:pPr>
      <w:r>
        <w:rPr>
          <w:rFonts w:ascii="宋体" w:hAnsi="宋体" w:eastAsia="宋体" w:cs="宋体"/>
          <w:sz w:val="24"/>
          <w:szCs w:val="24"/>
        </w:rPr>
        <w:t>（4）履约验收程序：____________________</w:t>
      </w:r>
    </w:p>
    <w:p w14:paraId="332FF002">
      <w:pPr>
        <w:pStyle w:val="14"/>
        <w:spacing w:line="360" w:lineRule="auto"/>
        <w:rPr>
          <w:rFonts w:hint="default" w:ascii="宋体" w:hAnsi="宋体" w:eastAsia="宋体" w:cs="宋体"/>
          <w:sz w:val="24"/>
          <w:szCs w:val="24"/>
        </w:rPr>
      </w:pPr>
      <w:r>
        <w:rPr>
          <w:rFonts w:ascii="宋体" w:hAnsi="宋体" w:eastAsia="宋体" w:cs="宋体"/>
          <w:sz w:val="24"/>
          <w:szCs w:val="24"/>
        </w:rPr>
        <w:t>（5）履约验收的内容：_________（应当包括每一项技术和商务要求的履约情况，特别是落实政府采购扶持中小企业，支持绿色发展和乡村振兴等政策情况）___________</w:t>
      </w:r>
    </w:p>
    <w:p w14:paraId="1AC98ACD">
      <w:pPr>
        <w:pStyle w:val="14"/>
        <w:spacing w:line="360" w:lineRule="auto"/>
        <w:rPr>
          <w:rFonts w:hint="default" w:ascii="宋体" w:hAnsi="宋体" w:eastAsia="宋体" w:cs="宋体"/>
          <w:sz w:val="24"/>
          <w:szCs w:val="24"/>
        </w:rPr>
      </w:pPr>
      <w:r>
        <w:rPr>
          <w:rFonts w:ascii="宋体" w:hAnsi="宋体" w:eastAsia="宋体" w:cs="宋体"/>
          <w:sz w:val="24"/>
          <w:szCs w:val="24"/>
        </w:rPr>
        <w:t>（6）履约验收标准：_____________________________</w:t>
      </w:r>
    </w:p>
    <w:p w14:paraId="78810F0A">
      <w:pPr>
        <w:pStyle w:val="14"/>
        <w:spacing w:line="360" w:lineRule="auto"/>
        <w:rPr>
          <w:rFonts w:hint="default" w:ascii="宋体" w:hAnsi="宋体" w:eastAsia="宋体" w:cs="宋体"/>
          <w:sz w:val="24"/>
          <w:szCs w:val="24"/>
        </w:rPr>
      </w:pPr>
      <w:r>
        <w:rPr>
          <w:rFonts w:ascii="宋体" w:hAnsi="宋体" w:eastAsia="宋体" w:cs="宋体"/>
          <w:sz w:val="24"/>
          <w:szCs w:val="24"/>
        </w:rPr>
        <w:t>（7）是否以采购活动中供应商提供的样品作为参考：是否</w:t>
      </w:r>
    </w:p>
    <w:p w14:paraId="1431B6E5">
      <w:pPr>
        <w:pStyle w:val="14"/>
        <w:spacing w:line="360" w:lineRule="auto"/>
        <w:rPr>
          <w:rFonts w:hint="default" w:ascii="宋体" w:hAnsi="宋体" w:eastAsia="宋体" w:cs="宋体"/>
          <w:sz w:val="24"/>
          <w:szCs w:val="24"/>
        </w:rPr>
      </w:pPr>
      <w:r>
        <w:rPr>
          <w:rFonts w:ascii="宋体" w:hAnsi="宋体" w:eastAsia="宋体" w:cs="宋体"/>
          <w:sz w:val="24"/>
          <w:szCs w:val="24"/>
        </w:rPr>
        <w:t>（8）履约验收其他事项：_______________</w:t>
      </w:r>
    </w:p>
    <w:p w14:paraId="79B7429B">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5.组成合同的文件</w:t>
      </w:r>
    </w:p>
    <w:p w14:paraId="00ECEC49">
      <w:pPr>
        <w:pStyle w:val="14"/>
        <w:spacing w:line="360" w:lineRule="auto"/>
        <w:rPr>
          <w:rFonts w:hint="default" w:ascii="宋体" w:hAnsi="宋体" w:eastAsia="宋体" w:cs="宋体"/>
          <w:sz w:val="24"/>
          <w:szCs w:val="24"/>
        </w:rPr>
      </w:pPr>
      <w:r>
        <w:rPr>
          <w:rFonts w:ascii="宋体" w:hAnsi="宋体" w:eastAsia="宋体" w:cs="宋体"/>
          <w:sz w:val="24"/>
          <w:szCs w:val="24"/>
        </w:rPr>
        <w:t>本协议书与下列文件一起构成合同文件，如下述文件之间有任何抵触、矛盾或歧义，应按以下顺序解释：</w:t>
      </w:r>
    </w:p>
    <w:p w14:paraId="4445656B">
      <w:pPr>
        <w:pStyle w:val="14"/>
        <w:spacing w:line="360" w:lineRule="auto"/>
        <w:rPr>
          <w:rFonts w:hint="default" w:ascii="宋体" w:hAnsi="宋体" w:eastAsia="宋体" w:cs="宋体"/>
          <w:sz w:val="24"/>
          <w:szCs w:val="24"/>
        </w:rPr>
      </w:pPr>
      <w:r>
        <w:rPr>
          <w:rFonts w:ascii="宋体" w:hAnsi="宋体" w:eastAsia="宋体" w:cs="宋体"/>
          <w:sz w:val="24"/>
          <w:szCs w:val="24"/>
        </w:rPr>
        <w:t>（1）政府采购合同协议书及其变更、补充协议</w:t>
      </w:r>
    </w:p>
    <w:p w14:paraId="129FC5A7">
      <w:pPr>
        <w:pStyle w:val="14"/>
        <w:spacing w:line="360" w:lineRule="auto"/>
        <w:rPr>
          <w:rFonts w:hint="default" w:ascii="宋体" w:hAnsi="宋体" w:eastAsia="宋体" w:cs="宋体"/>
          <w:sz w:val="24"/>
          <w:szCs w:val="24"/>
        </w:rPr>
      </w:pPr>
      <w:r>
        <w:rPr>
          <w:rFonts w:ascii="宋体" w:hAnsi="宋体" w:eastAsia="宋体" w:cs="宋体"/>
          <w:sz w:val="24"/>
          <w:szCs w:val="24"/>
        </w:rPr>
        <w:t>（2）政府采购合同专用条款</w:t>
      </w:r>
    </w:p>
    <w:p w14:paraId="5F0019B7">
      <w:pPr>
        <w:pStyle w:val="14"/>
        <w:spacing w:line="360" w:lineRule="auto"/>
        <w:rPr>
          <w:rFonts w:hint="default" w:ascii="宋体" w:hAnsi="宋体" w:eastAsia="宋体" w:cs="宋体"/>
          <w:sz w:val="24"/>
          <w:szCs w:val="24"/>
        </w:rPr>
      </w:pPr>
      <w:r>
        <w:rPr>
          <w:rFonts w:ascii="宋体" w:hAnsi="宋体" w:eastAsia="宋体" w:cs="宋体"/>
          <w:sz w:val="24"/>
          <w:szCs w:val="24"/>
        </w:rPr>
        <w:t>（3）政府采购合同通用条款</w:t>
      </w:r>
    </w:p>
    <w:p w14:paraId="07C11F8A">
      <w:pPr>
        <w:pStyle w:val="14"/>
        <w:spacing w:line="360" w:lineRule="auto"/>
        <w:rPr>
          <w:rFonts w:hint="default" w:ascii="宋体" w:hAnsi="宋体" w:eastAsia="宋体" w:cs="宋体"/>
          <w:sz w:val="24"/>
          <w:szCs w:val="24"/>
        </w:rPr>
      </w:pPr>
      <w:r>
        <w:rPr>
          <w:rFonts w:ascii="宋体" w:hAnsi="宋体" w:eastAsia="宋体" w:cs="宋体"/>
          <w:sz w:val="24"/>
          <w:szCs w:val="24"/>
        </w:rPr>
        <w:t>（4）中标（成交）通知书</w:t>
      </w:r>
    </w:p>
    <w:p w14:paraId="0A8F140C">
      <w:pPr>
        <w:pStyle w:val="14"/>
        <w:spacing w:line="360" w:lineRule="auto"/>
        <w:rPr>
          <w:rFonts w:hint="default" w:ascii="宋体" w:hAnsi="宋体" w:eastAsia="宋体" w:cs="宋体"/>
          <w:sz w:val="24"/>
          <w:szCs w:val="24"/>
        </w:rPr>
      </w:pPr>
      <w:r>
        <w:rPr>
          <w:rFonts w:ascii="宋体" w:hAnsi="宋体" w:eastAsia="宋体" w:cs="宋体"/>
          <w:sz w:val="24"/>
          <w:szCs w:val="24"/>
        </w:rPr>
        <w:t>（5）投标（响应）文件</w:t>
      </w:r>
    </w:p>
    <w:p w14:paraId="1D17E0E6">
      <w:pPr>
        <w:pStyle w:val="14"/>
        <w:spacing w:line="360" w:lineRule="auto"/>
        <w:rPr>
          <w:rFonts w:hint="default" w:ascii="宋体" w:hAnsi="宋体" w:eastAsia="宋体" w:cs="宋体"/>
          <w:sz w:val="24"/>
          <w:szCs w:val="24"/>
        </w:rPr>
      </w:pPr>
      <w:r>
        <w:rPr>
          <w:rFonts w:ascii="宋体" w:hAnsi="宋体" w:eastAsia="宋体" w:cs="宋体"/>
          <w:sz w:val="24"/>
          <w:szCs w:val="24"/>
        </w:rPr>
        <w:t>（6）采购文件</w:t>
      </w:r>
    </w:p>
    <w:p w14:paraId="3787DE52">
      <w:pPr>
        <w:pStyle w:val="14"/>
        <w:spacing w:line="360" w:lineRule="auto"/>
        <w:rPr>
          <w:rFonts w:hint="default" w:ascii="宋体" w:hAnsi="宋体" w:eastAsia="宋体" w:cs="宋体"/>
          <w:sz w:val="24"/>
          <w:szCs w:val="24"/>
        </w:rPr>
      </w:pPr>
      <w:r>
        <w:rPr>
          <w:rFonts w:ascii="宋体" w:hAnsi="宋体" w:eastAsia="宋体" w:cs="宋体"/>
          <w:sz w:val="24"/>
          <w:szCs w:val="24"/>
        </w:rPr>
        <w:t>（7）有关技术文件，图纸</w:t>
      </w:r>
    </w:p>
    <w:p w14:paraId="2D2705BE">
      <w:pPr>
        <w:pStyle w:val="14"/>
        <w:spacing w:line="360" w:lineRule="auto"/>
        <w:rPr>
          <w:rFonts w:hint="default" w:ascii="宋体" w:hAnsi="宋体" w:eastAsia="宋体" w:cs="宋体"/>
          <w:sz w:val="24"/>
          <w:szCs w:val="24"/>
        </w:rPr>
      </w:pPr>
      <w:r>
        <w:rPr>
          <w:rFonts w:ascii="宋体" w:hAnsi="宋体" w:eastAsia="宋体" w:cs="宋体"/>
          <w:sz w:val="24"/>
          <w:szCs w:val="24"/>
        </w:rPr>
        <w:t>（8）国家法律、行政法规和规章制度规定或合同约定的作为合同组成部分的其他文件</w:t>
      </w:r>
    </w:p>
    <w:p w14:paraId="6573BB3F">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6.合同生效</w:t>
      </w:r>
    </w:p>
    <w:p w14:paraId="513428C4">
      <w:pPr>
        <w:pStyle w:val="14"/>
        <w:spacing w:line="360" w:lineRule="auto"/>
        <w:rPr>
          <w:rFonts w:hint="default" w:ascii="宋体" w:hAnsi="宋体" w:eastAsia="宋体" w:cs="宋体"/>
          <w:sz w:val="24"/>
          <w:szCs w:val="24"/>
        </w:rPr>
      </w:pPr>
      <w:r>
        <w:rPr>
          <w:rFonts w:ascii="宋体" w:hAnsi="宋体" w:eastAsia="宋体" w:cs="宋体"/>
          <w:sz w:val="24"/>
          <w:szCs w:val="24"/>
        </w:rPr>
        <w:t>本合同自____________________生效。</w:t>
      </w:r>
    </w:p>
    <w:p w14:paraId="588964E3">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7.合同份数</w:t>
      </w:r>
    </w:p>
    <w:p w14:paraId="5F2CB10C">
      <w:pPr>
        <w:pStyle w:val="14"/>
        <w:spacing w:line="360" w:lineRule="auto"/>
        <w:rPr>
          <w:rFonts w:hint="default" w:ascii="宋体" w:hAnsi="宋体" w:eastAsia="宋体" w:cs="宋体"/>
          <w:sz w:val="24"/>
          <w:szCs w:val="24"/>
        </w:rPr>
      </w:pPr>
      <w:r>
        <w:rPr>
          <w:rFonts w:ascii="宋体" w:hAnsi="宋体" w:eastAsia="宋体" w:cs="宋体"/>
          <w:sz w:val="24"/>
          <w:szCs w:val="24"/>
        </w:rPr>
        <w:t>本合同一式 _______ 份，甲方执 _______ 份，乙方执 _______ 份，均具有同等法律效力。</w:t>
      </w:r>
    </w:p>
    <w:p w14:paraId="0BBDB378">
      <w:pPr>
        <w:pStyle w:val="14"/>
        <w:spacing w:line="360" w:lineRule="auto"/>
        <w:rPr>
          <w:rFonts w:hint="default" w:ascii="宋体" w:hAnsi="宋体" w:eastAsia="宋体" w:cs="宋体"/>
          <w:sz w:val="24"/>
          <w:szCs w:val="24"/>
        </w:rPr>
      </w:pPr>
      <w:r>
        <w:rPr>
          <w:rFonts w:ascii="宋体" w:hAnsi="宋体" w:eastAsia="宋体" w:cs="宋体"/>
          <w:sz w:val="24"/>
          <w:szCs w:val="24"/>
        </w:rPr>
        <w:t>合同订立时间：详见本合同封面的签订时间。</w:t>
      </w:r>
    </w:p>
    <w:p w14:paraId="4F7766DD">
      <w:pPr>
        <w:pStyle w:val="14"/>
        <w:spacing w:line="360" w:lineRule="auto"/>
        <w:rPr>
          <w:rFonts w:hint="default" w:ascii="宋体" w:hAnsi="宋体" w:eastAsia="宋体" w:cs="宋体"/>
          <w:sz w:val="24"/>
          <w:szCs w:val="24"/>
        </w:rPr>
      </w:pPr>
      <w:r>
        <w:rPr>
          <w:rFonts w:ascii="宋体" w:hAnsi="宋体" w:eastAsia="宋体" w:cs="宋体"/>
          <w:sz w:val="24"/>
          <w:szCs w:val="24"/>
        </w:rPr>
        <w:t>合同订立地点： ____________________________</w:t>
      </w:r>
    </w:p>
    <w:p w14:paraId="40D17BA6">
      <w:pPr>
        <w:pStyle w:val="14"/>
        <w:spacing w:line="360" w:lineRule="auto"/>
        <w:rPr>
          <w:rFonts w:hint="default" w:ascii="宋体" w:hAnsi="宋体" w:eastAsia="宋体" w:cs="宋体"/>
          <w:sz w:val="24"/>
          <w:szCs w:val="24"/>
        </w:rPr>
      </w:pPr>
      <w:r>
        <w:rPr>
          <w:rFonts w:ascii="宋体" w:hAnsi="宋体" w:eastAsia="宋体" w:cs="宋体"/>
          <w:sz w:val="24"/>
          <w:szCs w:val="24"/>
        </w:rPr>
        <w:t>附件：具体标的及其技术要求和商务要求、联合协议、分包意向协议等。</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p>
    <w:p w14:paraId="5346FC76">
      <w:pPr>
        <w:pStyle w:val="14"/>
        <w:spacing w:line="360" w:lineRule="auto"/>
        <w:rPr>
          <w:rFonts w:hint="default" w:ascii="宋体" w:hAnsi="宋体" w:eastAsia="宋体" w:cs="宋体"/>
          <w:sz w:val="24"/>
          <w:szCs w:val="24"/>
        </w:rPr>
      </w:pPr>
      <w:r>
        <w:rPr>
          <w:rFonts w:ascii="宋体" w:hAnsi="宋体" w:eastAsia="宋体" w:cs="宋体"/>
          <w:sz w:val="24"/>
          <w:szCs w:val="24"/>
        </w:rPr>
        <w:t>甲方（采购人、受采购人委托签订合同的单位或采购文件约定的合同甲方）</w:t>
      </w:r>
    </w:p>
    <w:p w14:paraId="449CD42E">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单位名称（公章或合同章）： {{未填写}}（盖章）</w:t>
      </w:r>
    </w:p>
    <w:p w14:paraId="0722D8C2">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法定代表人或其委托代理人（签章）：{{未填写}}</w:t>
      </w:r>
    </w:p>
    <w:p w14:paraId="60565433">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住 所：{{未填写}}</w:t>
      </w:r>
    </w:p>
    <w:p w14:paraId="52A2C752">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联 系 人：{{未填写}}</w:t>
      </w:r>
    </w:p>
    <w:p w14:paraId="121F0A7F">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联系电话：{{未填写}}</w:t>
      </w:r>
    </w:p>
    <w:p w14:paraId="5D8967C1">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通信地址：{{未填写}}</w:t>
      </w:r>
    </w:p>
    <w:p w14:paraId="007C82CC">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邮政编码：{{未填写}}</w:t>
      </w:r>
    </w:p>
    <w:p w14:paraId="52706436">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电子邮箱：{{未填写}}</w:t>
      </w:r>
    </w:p>
    <w:p w14:paraId="7AA3617E">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统一社会信用代码：{{未填写}}</w:t>
      </w:r>
    </w:p>
    <w:p w14:paraId="4927AC9D">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p>
    <w:p w14:paraId="19A649A7">
      <w:pPr>
        <w:pStyle w:val="14"/>
        <w:spacing w:line="360" w:lineRule="auto"/>
        <w:jc w:val="center"/>
        <w:outlineLvl w:val="1"/>
        <w:rPr>
          <w:rFonts w:hint="default" w:ascii="宋体" w:hAnsi="宋体" w:eastAsia="宋体" w:cs="宋体"/>
          <w:b/>
          <w:sz w:val="24"/>
          <w:szCs w:val="24"/>
        </w:rPr>
      </w:pPr>
    </w:p>
    <w:p w14:paraId="1FF16338">
      <w:pPr>
        <w:pStyle w:val="14"/>
        <w:spacing w:line="360" w:lineRule="auto"/>
        <w:jc w:val="center"/>
        <w:outlineLvl w:val="1"/>
        <w:rPr>
          <w:rFonts w:hint="default" w:ascii="宋体" w:hAnsi="宋体" w:eastAsia="宋体" w:cs="宋体"/>
          <w:b/>
          <w:sz w:val="24"/>
          <w:szCs w:val="24"/>
        </w:rPr>
      </w:pPr>
    </w:p>
    <w:p w14:paraId="352F8292">
      <w:pPr>
        <w:pStyle w:val="14"/>
        <w:spacing w:line="360" w:lineRule="auto"/>
        <w:jc w:val="center"/>
        <w:outlineLvl w:val="1"/>
        <w:rPr>
          <w:rFonts w:hint="default" w:ascii="宋体" w:hAnsi="宋体" w:eastAsia="宋体" w:cs="宋体"/>
          <w:b/>
          <w:sz w:val="24"/>
          <w:szCs w:val="24"/>
        </w:rPr>
      </w:pPr>
    </w:p>
    <w:p w14:paraId="1DD35275">
      <w:pPr>
        <w:pStyle w:val="14"/>
        <w:spacing w:line="360" w:lineRule="auto"/>
        <w:jc w:val="center"/>
        <w:outlineLvl w:val="1"/>
        <w:rPr>
          <w:rFonts w:hint="default" w:ascii="宋体" w:hAnsi="宋体" w:eastAsia="宋体" w:cs="宋体"/>
          <w:b/>
          <w:sz w:val="24"/>
          <w:szCs w:val="24"/>
        </w:rPr>
      </w:pPr>
    </w:p>
    <w:p w14:paraId="2E390E3E">
      <w:pPr>
        <w:pStyle w:val="14"/>
        <w:spacing w:line="360" w:lineRule="auto"/>
        <w:jc w:val="center"/>
        <w:outlineLvl w:val="1"/>
        <w:rPr>
          <w:rFonts w:hint="default" w:ascii="宋体" w:hAnsi="宋体" w:eastAsia="宋体" w:cs="宋体"/>
          <w:sz w:val="24"/>
          <w:szCs w:val="24"/>
        </w:rPr>
      </w:pPr>
      <w:r>
        <w:rPr>
          <w:rFonts w:ascii="宋体" w:hAnsi="宋体" w:eastAsia="宋体" w:cs="宋体"/>
          <w:b/>
          <w:sz w:val="24"/>
          <w:szCs w:val="24"/>
        </w:rPr>
        <w:t>第二节 政府采购合同通用条款</w:t>
      </w:r>
    </w:p>
    <w:p w14:paraId="3A33BD2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 定义</w:t>
      </w:r>
    </w:p>
    <w:p w14:paraId="4F121C2F">
      <w:pPr>
        <w:pStyle w:val="14"/>
        <w:spacing w:line="360" w:lineRule="auto"/>
        <w:rPr>
          <w:rFonts w:hint="default" w:ascii="宋体" w:hAnsi="宋体" w:eastAsia="宋体" w:cs="宋体"/>
          <w:sz w:val="24"/>
          <w:szCs w:val="24"/>
        </w:rPr>
      </w:pPr>
      <w:r>
        <w:rPr>
          <w:rFonts w:ascii="宋体" w:hAnsi="宋体" w:eastAsia="宋体" w:cs="宋体"/>
          <w:sz w:val="24"/>
          <w:szCs w:val="24"/>
        </w:rPr>
        <w:t>1.1合同当事人</w:t>
      </w:r>
    </w:p>
    <w:p w14:paraId="1812912D">
      <w:pPr>
        <w:pStyle w:val="14"/>
        <w:spacing w:line="360" w:lineRule="auto"/>
        <w:rPr>
          <w:rFonts w:hint="default" w:ascii="宋体" w:hAnsi="宋体" w:eastAsia="宋体" w:cs="宋体"/>
          <w:sz w:val="24"/>
          <w:szCs w:val="24"/>
        </w:rPr>
      </w:pPr>
      <w:r>
        <w:rPr>
          <w:rFonts w:ascii="宋体" w:hAnsi="宋体" w:eastAsia="宋体" w:cs="宋体"/>
          <w:sz w:val="24"/>
          <w:szCs w:val="24"/>
        </w:rPr>
        <w:t>（1）采购人（以下称甲方）是指使用财政性资金，通过政府采购方式向供应商购买货物及其相关服务的国家机关、事业单位、团体组织。</w:t>
      </w:r>
    </w:p>
    <w:p w14:paraId="31C0FEDB">
      <w:pPr>
        <w:pStyle w:val="14"/>
        <w:spacing w:line="360" w:lineRule="auto"/>
        <w:rPr>
          <w:rFonts w:hint="default" w:ascii="宋体" w:hAnsi="宋体" w:eastAsia="宋体" w:cs="宋体"/>
          <w:sz w:val="24"/>
          <w:szCs w:val="24"/>
        </w:rPr>
      </w:pPr>
      <w:r>
        <w:rPr>
          <w:rFonts w:ascii="宋体" w:hAnsi="宋体" w:eastAsia="宋体" w:cs="宋体"/>
          <w:sz w:val="24"/>
          <w:szCs w:val="24"/>
        </w:rPr>
        <w:t>（2）供应商（以下称乙方）是指参加政府采购活动并且中标（成交），向采购人提供合同约定的货物及其相关服务的法人、非法人组织或者自然人。</w:t>
      </w:r>
    </w:p>
    <w:p w14:paraId="0DB306DA">
      <w:pPr>
        <w:pStyle w:val="14"/>
        <w:spacing w:line="360" w:lineRule="auto"/>
        <w:rPr>
          <w:rFonts w:hint="default" w:ascii="宋体" w:hAnsi="宋体" w:eastAsia="宋体" w:cs="宋体"/>
          <w:sz w:val="24"/>
          <w:szCs w:val="24"/>
        </w:rPr>
      </w:pPr>
      <w:r>
        <w:rPr>
          <w:rFonts w:ascii="宋体" w:hAnsi="宋体" w:eastAsia="宋体" w:cs="宋体"/>
          <w:sz w:val="24"/>
          <w:szCs w:val="24"/>
        </w:rPr>
        <w:t>（3）其他合同主体是指除采购人和供应商以外，依法参与合同缔结或履行，享有权利、承担义务的合同当事人。</w:t>
      </w:r>
    </w:p>
    <w:p w14:paraId="4CF197AF">
      <w:pPr>
        <w:pStyle w:val="14"/>
        <w:spacing w:line="360" w:lineRule="auto"/>
        <w:rPr>
          <w:rFonts w:hint="default" w:ascii="宋体" w:hAnsi="宋体" w:eastAsia="宋体" w:cs="宋体"/>
          <w:sz w:val="24"/>
          <w:szCs w:val="24"/>
        </w:rPr>
      </w:pPr>
      <w:r>
        <w:rPr>
          <w:rFonts w:ascii="宋体" w:hAnsi="宋体" w:eastAsia="宋体" w:cs="宋体"/>
          <w:sz w:val="24"/>
          <w:szCs w:val="24"/>
        </w:rPr>
        <w:t>1.2本合同下列术语应解释为：</w:t>
      </w:r>
    </w:p>
    <w:p w14:paraId="4F8DC3F5">
      <w:pPr>
        <w:pStyle w:val="14"/>
        <w:spacing w:line="360" w:lineRule="auto"/>
        <w:rPr>
          <w:rFonts w:hint="default" w:ascii="宋体" w:hAnsi="宋体" w:eastAsia="宋体" w:cs="宋体"/>
          <w:sz w:val="24"/>
          <w:szCs w:val="24"/>
        </w:rPr>
      </w:pPr>
      <w:r>
        <w:rPr>
          <w:rFonts w:ascii="宋体" w:hAnsi="宋体" w:eastAsia="宋体" w:cs="宋体"/>
          <w:sz w:val="24"/>
          <w:szCs w:val="24"/>
        </w:rP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FA50A67">
      <w:pPr>
        <w:pStyle w:val="14"/>
        <w:spacing w:line="360" w:lineRule="auto"/>
        <w:rPr>
          <w:rFonts w:hint="default" w:ascii="宋体" w:hAnsi="宋体" w:eastAsia="宋体" w:cs="宋体"/>
          <w:sz w:val="24"/>
          <w:szCs w:val="24"/>
        </w:rPr>
      </w:pPr>
      <w:r>
        <w:rPr>
          <w:rFonts w:ascii="宋体" w:hAnsi="宋体" w:eastAsia="宋体" w:cs="宋体"/>
          <w:sz w:val="24"/>
          <w:szCs w:val="24"/>
        </w:rPr>
        <w:t>（2）“合同价款”系指根据本合同规定乙方在全面履行合同义务后甲方应支付给乙方的价款。</w:t>
      </w:r>
    </w:p>
    <w:p w14:paraId="1A510CD4">
      <w:pPr>
        <w:pStyle w:val="14"/>
        <w:spacing w:line="360" w:lineRule="auto"/>
        <w:rPr>
          <w:rFonts w:hint="default" w:ascii="宋体" w:hAnsi="宋体" w:eastAsia="宋体" w:cs="宋体"/>
          <w:sz w:val="24"/>
          <w:szCs w:val="24"/>
        </w:rPr>
      </w:pPr>
      <w:r>
        <w:rPr>
          <w:rFonts w:ascii="宋体" w:hAnsi="宋体" w:eastAsia="宋体" w:cs="宋体"/>
          <w:sz w:val="24"/>
          <w:szCs w:val="24"/>
        </w:rPr>
        <w:t>（3）“货物”系指乙方根据本合同规定须向甲方提供的各种形态和种类的物品，包括原材料、设备、产品（包括软件）及相关的其备品备件、工具、手册及其他技术资料和材料等。</w:t>
      </w:r>
    </w:p>
    <w:p w14:paraId="278A880F">
      <w:pPr>
        <w:pStyle w:val="14"/>
        <w:spacing w:line="360" w:lineRule="auto"/>
        <w:rPr>
          <w:rFonts w:hint="default" w:ascii="宋体" w:hAnsi="宋体" w:eastAsia="宋体" w:cs="宋体"/>
          <w:sz w:val="24"/>
          <w:szCs w:val="24"/>
        </w:rPr>
      </w:pPr>
      <w:r>
        <w:rPr>
          <w:rFonts w:ascii="宋体" w:hAnsi="宋体" w:eastAsia="宋体" w:cs="宋体"/>
          <w:sz w:val="24"/>
          <w:szCs w:val="24"/>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0203CEAA">
      <w:pPr>
        <w:pStyle w:val="14"/>
        <w:spacing w:line="360" w:lineRule="auto"/>
        <w:rPr>
          <w:rFonts w:hint="default" w:ascii="宋体" w:hAnsi="宋体" w:eastAsia="宋体" w:cs="宋体"/>
          <w:sz w:val="24"/>
          <w:szCs w:val="24"/>
        </w:rPr>
      </w:pPr>
      <w:r>
        <w:rPr>
          <w:rFonts w:ascii="宋体" w:hAnsi="宋体" w:eastAsia="宋体" w:cs="宋体"/>
          <w:sz w:val="24"/>
          <w:szCs w:val="24"/>
        </w:rPr>
        <w:t>（5）“分包”系指中标（成交）供应商按采购文件、投标（响应）文件的规定，根据分包意向协议，将中标（成交）项目中的部分履约内容，分给具有相应资质条件的供应商履行合同的行为。</w:t>
      </w:r>
    </w:p>
    <w:p w14:paraId="47E984C9">
      <w:pPr>
        <w:pStyle w:val="14"/>
        <w:spacing w:line="360" w:lineRule="auto"/>
        <w:rPr>
          <w:rFonts w:hint="default" w:ascii="宋体" w:hAnsi="宋体" w:eastAsia="宋体" w:cs="宋体"/>
          <w:sz w:val="24"/>
          <w:szCs w:val="24"/>
        </w:rPr>
      </w:pPr>
      <w:r>
        <w:rPr>
          <w:rFonts w:ascii="宋体" w:hAnsi="宋体" w:eastAsia="宋体" w:cs="宋体"/>
          <w:sz w:val="24"/>
          <w:szCs w:val="24"/>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ascii="宋体" w:hAnsi="宋体" w:eastAsia="宋体" w:cs="宋体"/>
          <w:b/>
          <w:sz w:val="24"/>
          <w:szCs w:val="24"/>
        </w:rPr>
        <w:t>【政府采购合同专用条款】</w:t>
      </w:r>
      <w:r>
        <w:rPr>
          <w:rFonts w:ascii="宋体" w:hAnsi="宋体" w:eastAsia="宋体" w:cs="宋体"/>
          <w:sz w:val="24"/>
          <w:szCs w:val="24"/>
        </w:rPr>
        <w:t>。</w:t>
      </w:r>
    </w:p>
    <w:p w14:paraId="294DAECD">
      <w:pPr>
        <w:pStyle w:val="14"/>
        <w:spacing w:line="360" w:lineRule="auto"/>
        <w:rPr>
          <w:rFonts w:hint="default" w:ascii="宋体" w:hAnsi="宋体" w:eastAsia="宋体" w:cs="宋体"/>
          <w:sz w:val="24"/>
          <w:szCs w:val="24"/>
        </w:rPr>
      </w:pPr>
      <w:r>
        <w:rPr>
          <w:rFonts w:ascii="宋体" w:hAnsi="宋体" w:eastAsia="宋体" w:cs="宋体"/>
          <w:sz w:val="24"/>
          <w:szCs w:val="24"/>
        </w:rPr>
        <w:t>（7）其他术语解释，见</w:t>
      </w:r>
      <w:r>
        <w:rPr>
          <w:rFonts w:ascii="宋体" w:hAnsi="宋体" w:eastAsia="宋体" w:cs="宋体"/>
          <w:b/>
          <w:sz w:val="24"/>
          <w:szCs w:val="24"/>
        </w:rPr>
        <w:t>【政府采购合同专用条款】</w:t>
      </w:r>
      <w:r>
        <w:rPr>
          <w:rFonts w:ascii="宋体" w:hAnsi="宋体" w:eastAsia="宋体" w:cs="宋体"/>
          <w:sz w:val="24"/>
          <w:szCs w:val="24"/>
        </w:rPr>
        <w:t>。</w:t>
      </w:r>
    </w:p>
    <w:p w14:paraId="2BEE0953">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2.合同标的及金额</w:t>
      </w:r>
    </w:p>
    <w:p w14:paraId="0894B11B">
      <w:pPr>
        <w:pStyle w:val="14"/>
        <w:spacing w:line="360" w:lineRule="auto"/>
        <w:rPr>
          <w:rFonts w:hint="default" w:ascii="宋体" w:hAnsi="宋体" w:eastAsia="宋体" w:cs="宋体"/>
          <w:sz w:val="24"/>
          <w:szCs w:val="24"/>
        </w:rPr>
      </w:pPr>
      <w:r>
        <w:rPr>
          <w:rFonts w:ascii="宋体" w:hAnsi="宋体" w:eastAsia="宋体" w:cs="宋体"/>
          <w:sz w:val="24"/>
          <w:szCs w:val="24"/>
        </w:rPr>
        <w:t>2.1 合同标的及金额应与中标（成交）结果一致。乙方为履行本合同而发生的所有费用均应包含在合同价款中，甲方不再另行支付其他任何费用。</w:t>
      </w:r>
    </w:p>
    <w:p w14:paraId="7ED7E46E">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3. 履行合同的时间、地点和方式</w:t>
      </w:r>
    </w:p>
    <w:p w14:paraId="593012F5">
      <w:pPr>
        <w:pStyle w:val="14"/>
        <w:spacing w:line="360" w:lineRule="auto"/>
        <w:rPr>
          <w:rFonts w:hint="default" w:ascii="宋体" w:hAnsi="宋体" w:eastAsia="宋体" w:cs="宋体"/>
          <w:sz w:val="24"/>
          <w:szCs w:val="24"/>
        </w:rPr>
      </w:pPr>
      <w:r>
        <w:rPr>
          <w:rFonts w:ascii="宋体" w:hAnsi="宋体" w:eastAsia="宋体" w:cs="宋体"/>
          <w:sz w:val="24"/>
          <w:szCs w:val="24"/>
        </w:rPr>
        <w:t>3.1 乙方应当在约定的时间、地点，按照约定方式履行合同。</w:t>
      </w:r>
    </w:p>
    <w:p w14:paraId="6749B5A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4. 甲方的权利和义务</w:t>
      </w:r>
    </w:p>
    <w:p w14:paraId="5A135632">
      <w:pPr>
        <w:pStyle w:val="14"/>
        <w:spacing w:line="360" w:lineRule="auto"/>
        <w:rPr>
          <w:rFonts w:hint="default" w:ascii="宋体" w:hAnsi="宋体" w:eastAsia="宋体" w:cs="宋体"/>
          <w:sz w:val="24"/>
          <w:szCs w:val="24"/>
        </w:rPr>
      </w:pPr>
      <w:r>
        <w:rPr>
          <w:rFonts w:ascii="宋体" w:hAnsi="宋体" w:eastAsia="宋体" w:cs="宋体"/>
          <w:sz w:val="24"/>
          <w:szCs w:val="24"/>
        </w:rPr>
        <w:t>4.1 签署合同后，甲方应确定项目负责人（或项目联系人），负责与本合同有关的事务。甲方有权对乙方的履约行为进行检查，并及时确认乙方提交的事项。甲方应当配合乙方完成相关项目实施工作。</w:t>
      </w:r>
    </w:p>
    <w:p w14:paraId="24FAAE6C">
      <w:pPr>
        <w:pStyle w:val="14"/>
        <w:spacing w:line="360" w:lineRule="auto"/>
        <w:rPr>
          <w:rFonts w:hint="default" w:ascii="宋体" w:hAnsi="宋体" w:eastAsia="宋体" w:cs="宋体"/>
          <w:sz w:val="24"/>
          <w:szCs w:val="24"/>
        </w:rPr>
      </w:pPr>
      <w:r>
        <w:rPr>
          <w:rFonts w:ascii="宋体" w:hAnsi="宋体" w:eastAsia="宋体" w:cs="宋体"/>
          <w:sz w:val="24"/>
          <w:szCs w:val="24"/>
        </w:rPr>
        <w:t>4.2 甲方有权要求乙方按时提交各阶段有关安排计划，并有权定期核对乙方提供货物数量、规格、质量等内容。甲方有权督促乙方工作并要求乙方更换不符合要求的货物。</w:t>
      </w:r>
    </w:p>
    <w:p w14:paraId="390FB51A">
      <w:pPr>
        <w:pStyle w:val="14"/>
        <w:spacing w:line="360" w:lineRule="auto"/>
        <w:rPr>
          <w:rFonts w:hint="default" w:ascii="宋体" w:hAnsi="宋体" w:eastAsia="宋体" w:cs="宋体"/>
          <w:sz w:val="24"/>
          <w:szCs w:val="24"/>
        </w:rPr>
      </w:pPr>
      <w:r>
        <w:rPr>
          <w:rFonts w:ascii="宋体" w:hAnsi="宋体" w:eastAsia="宋体" w:cs="宋体"/>
          <w:sz w:val="24"/>
          <w:szCs w:val="24"/>
        </w:rPr>
        <w:t>4.3 甲方有权要求乙方对缺陷部分予以修复，并按合同约定享有货物保修及其他合同约定的权利。</w:t>
      </w:r>
    </w:p>
    <w:p w14:paraId="64B84A95">
      <w:pPr>
        <w:pStyle w:val="14"/>
        <w:spacing w:line="360" w:lineRule="auto"/>
        <w:rPr>
          <w:rFonts w:hint="default" w:ascii="宋体" w:hAnsi="宋体" w:eastAsia="宋体" w:cs="宋体"/>
          <w:sz w:val="24"/>
          <w:szCs w:val="24"/>
        </w:rPr>
      </w:pPr>
      <w:r>
        <w:rPr>
          <w:rFonts w:ascii="宋体" w:hAnsi="宋体" w:eastAsia="宋体" w:cs="宋体"/>
          <w:sz w:val="24"/>
          <w:szCs w:val="24"/>
        </w:rPr>
        <w:t>4.4 甲方应当按照合同约定及时对交付的货物进行验收，未在</w:t>
      </w:r>
      <w:r>
        <w:rPr>
          <w:rFonts w:ascii="宋体" w:hAnsi="宋体" w:eastAsia="宋体" w:cs="宋体"/>
          <w:b/>
          <w:sz w:val="24"/>
          <w:szCs w:val="24"/>
        </w:rPr>
        <w:t>【政府采购合同专用条款】</w:t>
      </w:r>
      <w:r>
        <w:rPr>
          <w:rFonts w:ascii="宋体" w:hAnsi="宋体" w:eastAsia="宋体" w:cs="宋体"/>
          <w:sz w:val="24"/>
          <w:szCs w:val="24"/>
        </w:rPr>
        <w:t>约定的期限内对乙方履约提出任何异议或者向乙方作出任何说明的，视为验收通过。</w:t>
      </w:r>
    </w:p>
    <w:p w14:paraId="0B929F10">
      <w:pPr>
        <w:pStyle w:val="14"/>
        <w:spacing w:line="360" w:lineRule="auto"/>
        <w:rPr>
          <w:rFonts w:hint="default" w:ascii="宋体" w:hAnsi="宋体" w:eastAsia="宋体" w:cs="宋体"/>
          <w:sz w:val="24"/>
          <w:szCs w:val="24"/>
        </w:rPr>
      </w:pPr>
      <w:r>
        <w:rPr>
          <w:rFonts w:ascii="宋体" w:hAnsi="宋体" w:eastAsia="宋体" w:cs="宋体"/>
          <w:sz w:val="24"/>
          <w:szCs w:val="24"/>
        </w:rPr>
        <w:t>4.5 甲方应当根据合同约定及时向乙方支付合同价款，不得以内部人员变更、履行内部付款流程等为由，拒绝或迟延支付。</w:t>
      </w:r>
    </w:p>
    <w:p w14:paraId="7E98C9CE">
      <w:pPr>
        <w:pStyle w:val="14"/>
        <w:spacing w:line="360" w:lineRule="auto"/>
        <w:rPr>
          <w:rFonts w:hint="default" w:ascii="宋体" w:hAnsi="宋体" w:eastAsia="宋体" w:cs="宋体"/>
          <w:sz w:val="24"/>
          <w:szCs w:val="24"/>
        </w:rPr>
      </w:pPr>
      <w:r>
        <w:rPr>
          <w:rFonts w:ascii="宋体" w:hAnsi="宋体" w:eastAsia="宋体" w:cs="宋体"/>
          <w:sz w:val="24"/>
          <w:szCs w:val="24"/>
        </w:rPr>
        <w:t>4.6 国家法律法规规定及</w:t>
      </w:r>
      <w:r>
        <w:rPr>
          <w:rFonts w:ascii="宋体" w:hAnsi="宋体" w:eastAsia="宋体" w:cs="宋体"/>
          <w:b/>
          <w:sz w:val="24"/>
          <w:szCs w:val="24"/>
        </w:rPr>
        <w:t>【政府采购合同专用条款】</w:t>
      </w:r>
      <w:r>
        <w:rPr>
          <w:rFonts w:ascii="宋体" w:hAnsi="宋体" w:eastAsia="宋体" w:cs="宋体"/>
          <w:sz w:val="24"/>
          <w:szCs w:val="24"/>
        </w:rPr>
        <w:t>约定应由甲方承担的其他义务和责任。</w:t>
      </w:r>
    </w:p>
    <w:p w14:paraId="1D355850">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5. 乙方的权利和义务</w:t>
      </w:r>
    </w:p>
    <w:p w14:paraId="25E26A2B">
      <w:pPr>
        <w:pStyle w:val="14"/>
        <w:spacing w:line="360" w:lineRule="auto"/>
        <w:rPr>
          <w:rFonts w:hint="default" w:ascii="宋体" w:hAnsi="宋体" w:eastAsia="宋体" w:cs="宋体"/>
          <w:sz w:val="24"/>
          <w:szCs w:val="24"/>
        </w:rPr>
      </w:pPr>
      <w:r>
        <w:rPr>
          <w:rFonts w:ascii="宋体" w:hAnsi="宋体" w:eastAsia="宋体" w:cs="宋体"/>
          <w:sz w:val="24"/>
          <w:szCs w:val="24"/>
        </w:rPr>
        <w:t>5.1 签署合同后，乙方应确定项目负责人（或项目联系人），负责与本合同有关的事务。</w:t>
      </w:r>
    </w:p>
    <w:p w14:paraId="19E31F37">
      <w:pPr>
        <w:pStyle w:val="14"/>
        <w:spacing w:line="360" w:lineRule="auto"/>
        <w:rPr>
          <w:rFonts w:hint="default" w:ascii="宋体" w:hAnsi="宋体" w:eastAsia="宋体" w:cs="宋体"/>
          <w:sz w:val="24"/>
          <w:szCs w:val="24"/>
        </w:rPr>
      </w:pPr>
      <w:r>
        <w:rPr>
          <w:rFonts w:ascii="宋体" w:hAnsi="宋体" w:eastAsia="宋体" w:cs="宋体"/>
          <w:sz w:val="24"/>
          <w:szCs w:val="24"/>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1781347">
      <w:pPr>
        <w:pStyle w:val="14"/>
        <w:spacing w:line="360" w:lineRule="auto"/>
        <w:rPr>
          <w:rFonts w:hint="default" w:ascii="宋体" w:hAnsi="宋体" w:eastAsia="宋体" w:cs="宋体"/>
          <w:sz w:val="24"/>
          <w:szCs w:val="24"/>
        </w:rPr>
      </w:pPr>
      <w:r>
        <w:rPr>
          <w:rFonts w:ascii="宋体" w:hAnsi="宋体" w:eastAsia="宋体" w:cs="宋体"/>
          <w:sz w:val="24"/>
          <w:szCs w:val="24"/>
        </w:rPr>
        <w:t>5.3乙方有权根据合同约定向甲方收取合同价款。</w:t>
      </w:r>
    </w:p>
    <w:p w14:paraId="3AEB8025">
      <w:pPr>
        <w:pStyle w:val="14"/>
        <w:spacing w:line="360" w:lineRule="auto"/>
        <w:rPr>
          <w:rFonts w:hint="default" w:ascii="宋体" w:hAnsi="宋体" w:eastAsia="宋体" w:cs="宋体"/>
          <w:sz w:val="24"/>
          <w:szCs w:val="24"/>
        </w:rPr>
      </w:pPr>
      <w:r>
        <w:rPr>
          <w:rFonts w:ascii="宋体" w:hAnsi="宋体" w:eastAsia="宋体" w:cs="宋体"/>
          <w:sz w:val="24"/>
          <w:szCs w:val="24"/>
        </w:rPr>
        <w:t>5.4国家法律法规规定及</w:t>
      </w:r>
      <w:r>
        <w:rPr>
          <w:rFonts w:ascii="宋体" w:hAnsi="宋体" w:eastAsia="宋体" w:cs="宋体"/>
          <w:b/>
          <w:sz w:val="24"/>
          <w:szCs w:val="24"/>
        </w:rPr>
        <w:t>【政府采购合同专用条款】</w:t>
      </w:r>
      <w:r>
        <w:rPr>
          <w:rFonts w:ascii="宋体" w:hAnsi="宋体" w:eastAsia="宋体" w:cs="宋体"/>
          <w:sz w:val="24"/>
          <w:szCs w:val="24"/>
        </w:rPr>
        <w:t>约定应由乙方承担的其他义务和责任。</w:t>
      </w:r>
    </w:p>
    <w:p w14:paraId="0EF6D87C">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6.合同履行</w:t>
      </w:r>
    </w:p>
    <w:p w14:paraId="459C0A8C">
      <w:pPr>
        <w:pStyle w:val="14"/>
        <w:spacing w:line="360" w:lineRule="auto"/>
        <w:rPr>
          <w:rFonts w:hint="default" w:ascii="宋体" w:hAnsi="宋体" w:eastAsia="宋体" w:cs="宋体"/>
          <w:sz w:val="24"/>
          <w:szCs w:val="24"/>
        </w:rPr>
      </w:pPr>
      <w:r>
        <w:rPr>
          <w:rFonts w:ascii="宋体" w:hAnsi="宋体" w:eastAsia="宋体" w:cs="宋体"/>
          <w:sz w:val="24"/>
          <w:szCs w:val="24"/>
        </w:rPr>
        <w:t>6.1 甲乙双方应当按照</w:t>
      </w:r>
      <w:r>
        <w:rPr>
          <w:rFonts w:ascii="宋体" w:hAnsi="宋体" w:eastAsia="宋体" w:cs="宋体"/>
          <w:b/>
          <w:sz w:val="24"/>
          <w:szCs w:val="24"/>
        </w:rPr>
        <w:t>【政府采购合同专用条款】</w:t>
      </w:r>
      <w:r>
        <w:rPr>
          <w:rFonts w:ascii="宋体" w:hAnsi="宋体" w:eastAsia="宋体" w:cs="宋体"/>
          <w:sz w:val="24"/>
          <w:szCs w:val="24"/>
        </w:rPr>
        <w:t>约定顺序履行合同义务；如果没有先后顺序的，应当同时履行。</w:t>
      </w:r>
    </w:p>
    <w:p w14:paraId="56F9DAC4">
      <w:pPr>
        <w:pStyle w:val="14"/>
        <w:spacing w:line="360" w:lineRule="auto"/>
        <w:rPr>
          <w:rFonts w:hint="default" w:ascii="宋体" w:hAnsi="宋体" w:eastAsia="宋体" w:cs="宋体"/>
          <w:sz w:val="24"/>
          <w:szCs w:val="24"/>
        </w:rPr>
      </w:pPr>
      <w:r>
        <w:rPr>
          <w:rFonts w:ascii="宋体" w:hAnsi="宋体" w:eastAsia="宋体" w:cs="宋体"/>
          <w:sz w:val="24"/>
          <w:szCs w:val="24"/>
        </w:rPr>
        <w:t>6.2 甲乙双方按照合同约定顺序履行合同义务时，应当先履行一方未履行的，后履行一方有权拒绝其履行请求。先履行一方履行不符合约定的，后履行一方有权拒绝其相应的履行请求。</w:t>
      </w:r>
    </w:p>
    <w:p w14:paraId="03E644A5">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7. 货物包装、运输、保险和交付要求</w:t>
      </w:r>
    </w:p>
    <w:p w14:paraId="0AE77A7B">
      <w:pPr>
        <w:pStyle w:val="14"/>
        <w:spacing w:line="360" w:lineRule="auto"/>
        <w:rPr>
          <w:rFonts w:hint="default" w:ascii="宋体" w:hAnsi="宋体" w:eastAsia="宋体" w:cs="宋体"/>
          <w:sz w:val="24"/>
          <w:szCs w:val="24"/>
        </w:rPr>
      </w:pPr>
      <w:r>
        <w:rPr>
          <w:rFonts w:ascii="宋体" w:hAnsi="宋体" w:eastAsia="宋体" w:cs="宋体"/>
          <w:sz w:val="24"/>
          <w:szCs w:val="24"/>
        </w:rPr>
        <w:t>7.1 本合同涉及商品包装、快递包装的，除</w:t>
      </w:r>
      <w:r>
        <w:rPr>
          <w:rFonts w:ascii="宋体" w:hAnsi="宋体" w:eastAsia="宋体" w:cs="宋体"/>
          <w:b/>
          <w:sz w:val="24"/>
          <w:szCs w:val="24"/>
        </w:rPr>
        <w:t>【政府采购合同专用条款】</w:t>
      </w:r>
      <w:r>
        <w:rPr>
          <w:rFonts w:ascii="宋体" w:hAnsi="宋体" w:eastAsia="宋体" w:cs="宋体"/>
          <w:sz w:val="24"/>
          <w:szCs w:val="24"/>
        </w:rPr>
        <w:t>另有约定外，包装应适应远距离运输、防潮、防震、防锈和防野蛮装卸等要求，确保货物安全无损地运抵</w:t>
      </w:r>
      <w:r>
        <w:rPr>
          <w:rFonts w:ascii="宋体" w:hAnsi="宋体" w:eastAsia="宋体" w:cs="宋体"/>
          <w:b/>
          <w:sz w:val="24"/>
          <w:szCs w:val="24"/>
        </w:rPr>
        <w:t>【政府采购合同专用条款】</w:t>
      </w:r>
      <w:r>
        <w:rPr>
          <w:rFonts w:ascii="宋体" w:hAnsi="宋体" w:eastAsia="宋体" w:cs="宋体"/>
          <w:sz w:val="24"/>
          <w:szCs w:val="24"/>
        </w:rPr>
        <w:t>约定的指定现场。</w:t>
      </w:r>
    </w:p>
    <w:p w14:paraId="7A4083E1">
      <w:pPr>
        <w:pStyle w:val="14"/>
        <w:spacing w:line="360" w:lineRule="auto"/>
        <w:rPr>
          <w:rFonts w:hint="default" w:ascii="宋体" w:hAnsi="宋体" w:eastAsia="宋体" w:cs="宋体"/>
          <w:sz w:val="24"/>
          <w:szCs w:val="24"/>
        </w:rPr>
      </w:pPr>
      <w:r>
        <w:rPr>
          <w:rFonts w:ascii="宋体" w:hAnsi="宋体" w:eastAsia="宋体" w:cs="宋体"/>
          <w:sz w:val="24"/>
          <w:szCs w:val="24"/>
        </w:rPr>
        <w:t>7.2 除</w:t>
      </w:r>
      <w:r>
        <w:rPr>
          <w:rFonts w:ascii="宋体" w:hAnsi="宋体" w:eastAsia="宋体" w:cs="宋体"/>
          <w:b/>
          <w:sz w:val="24"/>
          <w:szCs w:val="24"/>
        </w:rPr>
        <w:t>【政府采购合同专用条款】</w:t>
      </w:r>
      <w:r>
        <w:rPr>
          <w:rFonts w:ascii="宋体" w:hAnsi="宋体" w:eastAsia="宋体" w:cs="宋体"/>
          <w:sz w:val="24"/>
          <w:szCs w:val="24"/>
        </w:rPr>
        <w:t>另有约定外，乙方负责办理将货物运抵本合同规定的交货地点，并装卸、交付至甲方的一切运输事项，相关费用应包含在合同价款中。</w:t>
      </w:r>
    </w:p>
    <w:p w14:paraId="58E4C9E5">
      <w:pPr>
        <w:pStyle w:val="14"/>
        <w:spacing w:line="360" w:lineRule="auto"/>
        <w:rPr>
          <w:rFonts w:hint="default" w:ascii="宋体" w:hAnsi="宋体" w:eastAsia="宋体" w:cs="宋体"/>
          <w:sz w:val="24"/>
          <w:szCs w:val="24"/>
        </w:rPr>
      </w:pPr>
      <w:r>
        <w:rPr>
          <w:rFonts w:ascii="宋体" w:hAnsi="宋体" w:eastAsia="宋体" w:cs="宋体"/>
          <w:sz w:val="24"/>
          <w:szCs w:val="24"/>
        </w:rPr>
        <w:t>7.3 货物保险要求按</w:t>
      </w:r>
      <w:r>
        <w:rPr>
          <w:rFonts w:ascii="宋体" w:hAnsi="宋体" w:eastAsia="宋体" w:cs="宋体"/>
          <w:b/>
          <w:sz w:val="24"/>
          <w:szCs w:val="24"/>
        </w:rPr>
        <w:t>【政府采购合同专用条款】</w:t>
      </w:r>
      <w:r>
        <w:rPr>
          <w:rFonts w:ascii="宋体" w:hAnsi="宋体" w:eastAsia="宋体" w:cs="宋体"/>
          <w:sz w:val="24"/>
          <w:szCs w:val="24"/>
        </w:rPr>
        <w:t>规定执行。</w:t>
      </w:r>
    </w:p>
    <w:p w14:paraId="2BE179B6">
      <w:pPr>
        <w:pStyle w:val="14"/>
        <w:spacing w:line="360" w:lineRule="auto"/>
        <w:rPr>
          <w:rFonts w:hint="default" w:ascii="宋体" w:hAnsi="宋体" w:eastAsia="宋体" w:cs="宋体"/>
          <w:sz w:val="24"/>
          <w:szCs w:val="24"/>
        </w:rPr>
      </w:pPr>
      <w:r>
        <w:rPr>
          <w:rFonts w:ascii="宋体" w:hAnsi="宋体" w:eastAsia="宋体" w:cs="宋体"/>
          <w:sz w:val="24"/>
          <w:szCs w:val="24"/>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8D6D15">
      <w:pPr>
        <w:pStyle w:val="14"/>
        <w:spacing w:line="360" w:lineRule="auto"/>
        <w:rPr>
          <w:rFonts w:hint="default" w:ascii="宋体" w:hAnsi="宋体" w:eastAsia="宋体" w:cs="宋体"/>
          <w:sz w:val="24"/>
          <w:szCs w:val="24"/>
        </w:rPr>
      </w:pPr>
      <w:r>
        <w:rPr>
          <w:rFonts w:ascii="宋体" w:hAnsi="宋体" w:eastAsia="宋体" w:cs="宋体"/>
          <w:sz w:val="24"/>
          <w:szCs w:val="24"/>
        </w:rPr>
        <w:t>7.5 乙方在运输到达之前应提前通知甲方，并提示货物运输装卸的注意事项，甲方配合乙方做好货物的接收工作。</w:t>
      </w:r>
    </w:p>
    <w:p w14:paraId="35CB0382">
      <w:pPr>
        <w:pStyle w:val="14"/>
        <w:spacing w:line="360" w:lineRule="auto"/>
        <w:rPr>
          <w:rFonts w:hint="default" w:ascii="宋体" w:hAnsi="宋体" w:eastAsia="宋体" w:cs="宋体"/>
          <w:sz w:val="24"/>
          <w:szCs w:val="24"/>
        </w:rPr>
      </w:pPr>
      <w:r>
        <w:rPr>
          <w:rFonts w:ascii="宋体" w:hAnsi="宋体" w:eastAsia="宋体" w:cs="宋体"/>
          <w:sz w:val="24"/>
          <w:szCs w:val="24"/>
        </w:rPr>
        <w:t>7.6 如因包装、运输问题导致货物损毁、丢失或者品质下降，甲方有权要求降价、换货、拒收部分或整批货物，由此产生的费用和损失，均由乙方承担。</w:t>
      </w:r>
    </w:p>
    <w:p w14:paraId="5CDFF894">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8. 质量标准和保证</w:t>
      </w:r>
    </w:p>
    <w:p w14:paraId="238CBEA5">
      <w:pPr>
        <w:pStyle w:val="14"/>
        <w:spacing w:line="360" w:lineRule="auto"/>
        <w:rPr>
          <w:rFonts w:hint="default" w:ascii="宋体" w:hAnsi="宋体" w:eastAsia="宋体" w:cs="宋体"/>
          <w:sz w:val="24"/>
          <w:szCs w:val="24"/>
        </w:rPr>
      </w:pPr>
      <w:r>
        <w:rPr>
          <w:rFonts w:ascii="宋体" w:hAnsi="宋体" w:eastAsia="宋体" w:cs="宋体"/>
          <w:sz w:val="24"/>
          <w:szCs w:val="24"/>
        </w:rPr>
        <w:t>8.1 质量标准</w:t>
      </w:r>
    </w:p>
    <w:p w14:paraId="0E516402">
      <w:pPr>
        <w:pStyle w:val="14"/>
        <w:spacing w:line="360" w:lineRule="auto"/>
        <w:rPr>
          <w:rFonts w:hint="default" w:ascii="宋体" w:hAnsi="宋体" w:eastAsia="宋体" w:cs="宋体"/>
          <w:sz w:val="24"/>
          <w:szCs w:val="24"/>
        </w:rPr>
      </w:pPr>
      <w:r>
        <w:rPr>
          <w:rFonts w:ascii="宋体" w:hAnsi="宋体" w:eastAsia="宋体" w:cs="宋体"/>
          <w:sz w:val="24"/>
          <w:szCs w:val="24"/>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D9DAF0D">
      <w:pPr>
        <w:pStyle w:val="14"/>
        <w:spacing w:line="360" w:lineRule="auto"/>
        <w:rPr>
          <w:rFonts w:hint="default" w:ascii="宋体" w:hAnsi="宋体" w:eastAsia="宋体" w:cs="宋体"/>
          <w:sz w:val="24"/>
          <w:szCs w:val="24"/>
        </w:rPr>
      </w:pPr>
      <w:r>
        <w:rPr>
          <w:rFonts w:ascii="宋体" w:hAnsi="宋体" w:eastAsia="宋体" w:cs="宋体"/>
          <w:sz w:val="24"/>
          <w:szCs w:val="24"/>
        </w:rPr>
        <w:t>（2）采用中华人民共和国法定计量单位。</w:t>
      </w:r>
    </w:p>
    <w:p w14:paraId="40F49E67">
      <w:pPr>
        <w:pStyle w:val="14"/>
        <w:spacing w:line="360" w:lineRule="auto"/>
        <w:rPr>
          <w:rFonts w:hint="default" w:ascii="宋体" w:hAnsi="宋体" w:eastAsia="宋体" w:cs="宋体"/>
          <w:sz w:val="24"/>
          <w:szCs w:val="24"/>
        </w:rPr>
      </w:pPr>
      <w:r>
        <w:rPr>
          <w:rFonts w:ascii="宋体" w:hAnsi="宋体" w:eastAsia="宋体" w:cs="宋体"/>
          <w:sz w:val="24"/>
          <w:szCs w:val="24"/>
        </w:rPr>
        <w:t>（3）乙方所提供的货物应符合国家有关安全、环保、卫生的规定。</w:t>
      </w:r>
    </w:p>
    <w:p w14:paraId="53E6B5BC">
      <w:pPr>
        <w:pStyle w:val="14"/>
        <w:spacing w:line="360" w:lineRule="auto"/>
        <w:rPr>
          <w:rFonts w:hint="default" w:ascii="宋体" w:hAnsi="宋体" w:eastAsia="宋体" w:cs="宋体"/>
          <w:sz w:val="24"/>
          <w:szCs w:val="24"/>
        </w:rPr>
      </w:pPr>
      <w:r>
        <w:rPr>
          <w:rFonts w:ascii="宋体" w:hAnsi="宋体" w:eastAsia="宋体" w:cs="宋体"/>
          <w:sz w:val="24"/>
          <w:szCs w:val="24"/>
        </w:rPr>
        <w:t>（4）乙方应向甲方提交所提供货物的技术文件，包括相应的中文技术文件，如：产品目录、图纸、操作手册、使用说明、维护手册或服务指南等。上述文件应包装好随货物一同发运。</w:t>
      </w:r>
    </w:p>
    <w:p w14:paraId="38C8B123">
      <w:pPr>
        <w:pStyle w:val="14"/>
        <w:spacing w:line="360" w:lineRule="auto"/>
        <w:rPr>
          <w:rFonts w:hint="default" w:ascii="宋体" w:hAnsi="宋体" w:eastAsia="宋体" w:cs="宋体"/>
          <w:sz w:val="24"/>
          <w:szCs w:val="24"/>
        </w:rPr>
      </w:pPr>
      <w:r>
        <w:rPr>
          <w:rFonts w:ascii="宋体" w:hAnsi="宋体" w:eastAsia="宋体" w:cs="宋体"/>
          <w:sz w:val="24"/>
          <w:szCs w:val="24"/>
        </w:rPr>
        <w:t>8.2 保证</w:t>
      </w:r>
    </w:p>
    <w:p w14:paraId="0F131AFA">
      <w:pPr>
        <w:pStyle w:val="14"/>
        <w:spacing w:line="360" w:lineRule="auto"/>
        <w:rPr>
          <w:rFonts w:hint="default" w:ascii="宋体" w:hAnsi="宋体" w:eastAsia="宋体" w:cs="宋体"/>
          <w:sz w:val="24"/>
          <w:szCs w:val="24"/>
        </w:rPr>
      </w:pPr>
      <w:r>
        <w:rPr>
          <w:rFonts w:ascii="宋体" w:hAnsi="宋体" w:eastAsia="宋体" w:cs="宋体"/>
          <w:sz w:val="24"/>
          <w:szCs w:val="24"/>
        </w:rP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4F01CB5B">
      <w:pPr>
        <w:pStyle w:val="14"/>
        <w:spacing w:line="360" w:lineRule="auto"/>
        <w:rPr>
          <w:rFonts w:hint="default" w:ascii="宋体" w:hAnsi="宋体" w:eastAsia="宋体" w:cs="宋体"/>
          <w:sz w:val="24"/>
          <w:szCs w:val="24"/>
        </w:rPr>
      </w:pPr>
      <w:r>
        <w:rPr>
          <w:rFonts w:ascii="宋体" w:hAnsi="宋体" w:eastAsia="宋体" w:cs="宋体"/>
          <w:sz w:val="24"/>
          <w:szCs w:val="24"/>
        </w:rPr>
        <w:t>（2）在质量保证期内所发现的缺陷，甲方应尽快以书面形式通知乙方。</w:t>
      </w:r>
    </w:p>
    <w:p w14:paraId="323CE57A">
      <w:pPr>
        <w:pStyle w:val="14"/>
        <w:spacing w:line="360" w:lineRule="auto"/>
        <w:rPr>
          <w:rFonts w:hint="default" w:ascii="宋体" w:hAnsi="宋体" w:eastAsia="宋体" w:cs="宋体"/>
          <w:sz w:val="24"/>
          <w:szCs w:val="24"/>
        </w:rPr>
      </w:pPr>
      <w:r>
        <w:rPr>
          <w:rFonts w:ascii="宋体" w:hAnsi="宋体" w:eastAsia="宋体" w:cs="宋体"/>
          <w:sz w:val="24"/>
          <w:szCs w:val="24"/>
        </w:rPr>
        <w:t>（3）乙方收到通知后，应在【政府采购合同专用条款】规定的响应时间内以合理的速度免费维修或更换有缺陷的货物或部件。</w:t>
      </w:r>
    </w:p>
    <w:p w14:paraId="7814BBD1">
      <w:pPr>
        <w:pStyle w:val="14"/>
        <w:spacing w:line="360" w:lineRule="auto"/>
        <w:rPr>
          <w:rFonts w:hint="default" w:ascii="宋体" w:hAnsi="宋体" w:eastAsia="宋体" w:cs="宋体"/>
          <w:sz w:val="24"/>
          <w:szCs w:val="24"/>
        </w:rPr>
      </w:pPr>
      <w:r>
        <w:rPr>
          <w:rFonts w:ascii="宋体" w:hAnsi="宋体" w:eastAsia="宋体" w:cs="宋体"/>
          <w:sz w:val="24"/>
          <w:szCs w:val="24"/>
        </w:rPr>
        <w:t>（4）在质量保证期内，如果货物的质量或规格与合同不符，或证实货物是有缺陷的，包括潜在的缺陷或使用不符合要求的材料等，甲方可以根据本合同第15.1条规定以书面形式追究乙方的违约责任。</w:t>
      </w:r>
    </w:p>
    <w:p w14:paraId="48CEFD75">
      <w:pPr>
        <w:pStyle w:val="14"/>
        <w:spacing w:line="360" w:lineRule="auto"/>
        <w:rPr>
          <w:rFonts w:hint="default" w:ascii="宋体" w:hAnsi="宋体" w:eastAsia="宋体" w:cs="宋体"/>
          <w:sz w:val="24"/>
          <w:szCs w:val="24"/>
        </w:rPr>
      </w:pPr>
      <w:r>
        <w:rPr>
          <w:rFonts w:ascii="宋体" w:hAnsi="宋体" w:eastAsia="宋体" w:cs="宋体"/>
          <w:sz w:val="24"/>
          <w:szCs w:val="24"/>
        </w:rPr>
        <w:t>（5）乙方在约定的时间内未能弥补缺陷，甲方可采取必要的补救措施，但其风险和费用将由乙方承担，甲方根据合同约定对乙方行使的其他权利不受影响。</w:t>
      </w:r>
    </w:p>
    <w:p w14:paraId="3BC9CDC4">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9. 权利瑕疵担保</w:t>
      </w:r>
    </w:p>
    <w:p w14:paraId="424CA176">
      <w:pPr>
        <w:pStyle w:val="14"/>
        <w:spacing w:line="360" w:lineRule="auto"/>
        <w:rPr>
          <w:rFonts w:hint="default" w:ascii="宋体" w:hAnsi="宋体" w:eastAsia="宋体" w:cs="宋体"/>
          <w:sz w:val="24"/>
          <w:szCs w:val="24"/>
        </w:rPr>
      </w:pPr>
      <w:r>
        <w:rPr>
          <w:rFonts w:ascii="宋体" w:hAnsi="宋体" w:eastAsia="宋体" w:cs="宋体"/>
          <w:sz w:val="24"/>
          <w:szCs w:val="24"/>
        </w:rPr>
        <w:t>9.1 乙方保证对其出售的货物享有合法的权利。</w:t>
      </w:r>
    </w:p>
    <w:p w14:paraId="292DAF8C">
      <w:pPr>
        <w:pStyle w:val="14"/>
        <w:spacing w:line="360" w:lineRule="auto"/>
        <w:rPr>
          <w:rFonts w:hint="default" w:ascii="宋体" w:hAnsi="宋体" w:eastAsia="宋体" w:cs="宋体"/>
          <w:sz w:val="24"/>
          <w:szCs w:val="24"/>
        </w:rPr>
      </w:pPr>
      <w:r>
        <w:rPr>
          <w:rFonts w:ascii="宋体" w:hAnsi="宋体" w:eastAsia="宋体" w:cs="宋体"/>
          <w:sz w:val="24"/>
          <w:szCs w:val="24"/>
        </w:rPr>
        <w:t>9.2 乙方保证在交付的货物上不存在抵押权等担保物权。</w:t>
      </w:r>
    </w:p>
    <w:p w14:paraId="07520B9B">
      <w:pPr>
        <w:pStyle w:val="14"/>
        <w:spacing w:line="360" w:lineRule="auto"/>
        <w:rPr>
          <w:rFonts w:hint="default" w:ascii="宋体" w:hAnsi="宋体" w:eastAsia="宋体" w:cs="宋体"/>
          <w:sz w:val="24"/>
          <w:szCs w:val="24"/>
        </w:rPr>
      </w:pPr>
      <w:r>
        <w:rPr>
          <w:rFonts w:ascii="宋体" w:hAnsi="宋体" w:eastAsia="宋体" w:cs="宋体"/>
          <w:sz w:val="24"/>
          <w:szCs w:val="24"/>
        </w:rPr>
        <w:t>9.3 如甲方使用上述货物构成对第三人侵权的，则由乙方承担全部责任。</w:t>
      </w:r>
    </w:p>
    <w:p w14:paraId="25ECA643">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10. 知识产权保护</w:t>
      </w:r>
    </w:p>
    <w:p w14:paraId="0479DFD4">
      <w:pPr>
        <w:pStyle w:val="14"/>
        <w:spacing w:line="360" w:lineRule="auto"/>
        <w:rPr>
          <w:rFonts w:hint="default" w:ascii="宋体" w:hAnsi="宋体" w:eastAsia="宋体" w:cs="宋体"/>
          <w:sz w:val="24"/>
          <w:szCs w:val="24"/>
        </w:rPr>
      </w:pPr>
      <w:r>
        <w:rPr>
          <w:rFonts w:ascii="宋体" w:hAnsi="宋体" w:eastAsia="宋体" w:cs="宋体"/>
          <w:sz w:val="24"/>
          <w:szCs w:val="24"/>
        </w:rP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635B38BE">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11. 保密义务</w:t>
      </w:r>
    </w:p>
    <w:p w14:paraId="41A4AD22">
      <w:pPr>
        <w:pStyle w:val="14"/>
        <w:spacing w:line="360" w:lineRule="auto"/>
        <w:rPr>
          <w:rFonts w:hint="default" w:ascii="宋体" w:hAnsi="宋体" w:eastAsia="宋体" w:cs="宋体"/>
          <w:sz w:val="24"/>
          <w:szCs w:val="24"/>
        </w:rPr>
      </w:pPr>
      <w:r>
        <w:rPr>
          <w:rFonts w:ascii="宋体" w:hAnsi="宋体" w:eastAsia="宋体" w:cs="宋体"/>
          <w:sz w:val="24"/>
          <w:szCs w:val="24"/>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ascii="宋体" w:hAnsi="宋体" w:eastAsia="宋体" w:cs="宋体"/>
          <w:b/>
          <w:sz w:val="24"/>
          <w:szCs w:val="24"/>
        </w:rPr>
        <w:t>【政府采购合同专用条款】</w:t>
      </w:r>
      <w:r>
        <w:rPr>
          <w:rFonts w:ascii="宋体" w:hAnsi="宋体" w:eastAsia="宋体" w:cs="宋体"/>
          <w:sz w:val="24"/>
          <w:szCs w:val="24"/>
        </w:rPr>
        <w:t>中约定。</w:t>
      </w:r>
    </w:p>
    <w:p w14:paraId="0ED21F1F">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12. 合同价款支付</w:t>
      </w:r>
    </w:p>
    <w:p w14:paraId="05689154">
      <w:pPr>
        <w:pStyle w:val="14"/>
        <w:spacing w:line="360" w:lineRule="auto"/>
        <w:rPr>
          <w:rFonts w:hint="default" w:ascii="宋体" w:hAnsi="宋体" w:eastAsia="宋体" w:cs="宋体"/>
          <w:sz w:val="24"/>
          <w:szCs w:val="24"/>
        </w:rPr>
      </w:pPr>
      <w:r>
        <w:rPr>
          <w:rFonts w:ascii="宋体" w:hAnsi="宋体" w:eastAsia="宋体" w:cs="宋体"/>
          <w:sz w:val="24"/>
          <w:szCs w:val="24"/>
        </w:rPr>
        <w:t>12.1 合同价款支付按照国库集中支付制度及财政管理相关规定执行。</w:t>
      </w:r>
    </w:p>
    <w:p w14:paraId="1BBB709F">
      <w:pPr>
        <w:pStyle w:val="14"/>
        <w:spacing w:line="360" w:lineRule="auto"/>
        <w:rPr>
          <w:rFonts w:hint="default" w:ascii="宋体" w:hAnsi="宋体" w:eastAsia="宋体" w:cs="宋体"/>
          <w:sz w:val="24"/>
          <w:szCs w:val="24"/>
        </w:rPr>
      </w:pPr>
      <w:r>
        <w:rPr>
          <w:rFonts w:ascii="宋体" w:hAnsi="宋体" w:eastAsia="宋体" w:cs="宋体"/>
          <w:sz w:val="24"/>
          <w:szCs w:val="24"/>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ascii="宋体" w:hAnsi="宋体" w:eastAsia="宋体" w:cs="宋体"/>
          <w:b/>
          <w:sz w:val="24"/>
          <w:szCs w:val="24"/>
        </w:rPr>
        <w:t>【政府采购合同专用条款】</w:t>
      </w:r>
      <w:r>
        <w:rPr>
          <w:rFonts w:ascii="宋体" w:hAnsi="宋体" w:eastAsia="宋体" w:cs="宋体"/>
          <w:sz w:val="24"/>
          <w:szCs w:val="24"/>
        </w:rPr>
        <w:t>中约定。</w:t>
      </w:r>
    </w:p>
    <w:p w14:paraId="77E33B6B">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13. 履约保证金</w:t>
      </w:r>
    </w:p>
    <w:p w14:paraId="4123BA24">
      <w:pPr>
        <w:pStyle w:val="14"/>
        <w:spacing w:line="360" w:lineRule="auto"/>
        <w:rPr>
          <w:rFonts w:hint="default" w:ascii="宋体" w:hAnsi="宋体" w:eastAsia="宋体" w:cs="宋体"/>
          <w:sz w:val="24"/>
          <w:szCs w:val="24"/>
        </w:rPr>
      </w:pPr>
      <w:r>
        <w:rPr>
          <w:rFonts w:ascii="宋体" w:hAnsi="宋体" w:eastAsia="宋体" w:cs="宋体"/>
          <w:sz w:val="24"/>
          <w:szCs w:val="24"/>
        </w:rPr>
        <w:t>13.1 乙方应当以支票、汇票、本票或者金融机构、担保机构出具的保函等非现金形式提交。</w:t>
      </w:r>
    </w:p>
    <w:p w14:paraId="284592A3">
      <w:pPr>
        <w:pStyle w:val="14"/>
        <w:spacing w:line="360" w:lineRule="auto"/>
        <w:rPr>
          <w:rFonts w:hint="default" w:ascii="宋体" w:hAnsi="宋体" w:eastAsia="宋体" w:cs="宋体"/>
          <w:sz w:val="24"/>
          <w:szCs w:val="24"/>
        </w:rPr>
      </w:pPr>
      <w:r>
        <w:rPr>
          <w:rFonts w:ascii="宋体" w:hAnsi="宋体" w:eastAsia="宋体" w:cs="宋体"/>
          <w:sz w:val="24"/>
          <w:szCs w:val="24"/>
        </w:rPr>
        <w:t>13.2 如果乙方出现</w:t>
      </w:r>
      <w:r>
        <w:rPr>
          <w:rFonts w:ascii="宋体" w:hAnsi="宋体" w:eastAsia="宋体" w:cs="宋体"/>
          <w:b/>
          <w:sz w:val="24"/>
          <w:szCs w:val="24"/>
        </w:rPr>
        <w:t>【政府采购合同专用条款】</w:t>
      </w:r>
      <w:r>
        <w:rPr>
          <w:rFonts w:ascii="宋体" w:hAnsi="宋体" w:eastAsia="宋体" w:cs="宋体"/>
          <w:sz w:val="24"/>
          <w:szCs w:val="24"/>
        </w:rPr>
        <w:t>约定情形的，履约保证金不予退还；如果乙方未能按合同约定全面履行义务，甲方有权从履约保证金中取得补偿或赔偿，且不影响甲方要求乙方承担合同约定的超过履约保证金的违约责任的权利。</w:t>
      </w:r>
    </w:p>
    <w:p w14:paraId="3B83F4AA">
      <w:pPr>
        <w:pStyle w:val="14"/>
        <w:spacing w:line="360" w:lineRule="auto"/>
        <w:rPr>
          <w:rFonts w:hint="default" w:ascii="宋体" w:hAnsi="宋体" w:eastAsia="宋体" w:cs="宋体"/>
          <w:sz w:val="24"/>
          <w:szCs w:val="24"/>
        </w:rPr>
      </w:pPr>
      <w:r>
        <w:rPr>
          <w:rFonts w:ascii="宋体" w:hAnsi="宋体" w:eastAsia="宋体" w:cs="宋体"/>
          <w:sz w:val="24"/>
          <w:szCs w:val="24"/>
        </w:rPr>
        <w:t>13.3 甲方在项目通过验收后按照</w:t>
      </w:r>
      <w:r>
        <w:rPr>
          <w:rFonts w:ascii="宋体" w:hAnsi="宋体" w:eastAsia="宋体" w:cs="宋体"/>
          <w:b/>
          <w:sz w:val="24"/>
          <w:szCs w:val="24"/>
        </w:rPr>
        <w:t>【政府采购合同专用条款】</w:t>
      </w:r>
      <w:r>
        <w:rPr>
          <w:rFonts w:ascii="宋体" w:hAnsi="宋体" w:eastAsia="宋体" w:cs="宋体"/>
          <w:sz w:val="24"/>
          <w:szCs w:val="24"/>
        </w:rPr>
        <w:t>规定的时间内将履约保证金退还乙方；逾期退还的，乙方可要求甲方支付违约金，违约金按照</w:t>
      </w:r>
      <w:r>
        <w:rPr>
          <w:rFonts w:ascii="宋体" w:hAnsi="宋体" w:eastAsia="宋体" w:cs="宋体"/>
          <w:b/>
          <w:sz w:val="24"/>
          <w:szCs w:val="24"/>
        </w:rPr>
        <w:t>【政府采购合同专用条款】</w:t>
      </w:r>
      <w:r>
        <w:rPr>
          <w:rFonts w:ascii="宋体" w:hAnsi="宋体" w:eastAsia="宋体" w:cs="宋体"/>
          <w:sz w:val="24"/>
          <w:szCs w:val="24"/>
        </w:rPr>
        <w:t>规定支付。</w:t>
      </w:r>
    </w:p>
    <w:p w14:paraId="25677946">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14. 售后服务</w:t>
      </w:r>
    </w:p>
    <w:p w14:paraId="5CC6CBC9">
      <w:pPr>
        <w:pStyle w:val="14"/>
        <w:spacing w:line="360" w:lineRule="auto"/>
        <w:rPr>
          <w:rFonts w:hint="default" w:ascii="宋体" w:hAnsi="宋体" w:eastAsia="宋体" w:cs="宋体"/>
          <w:sz w:val="24"/>
          <w:szCs w:val="24"/>
        </w:rPr>
      </w:pPr>
      <w:r>
        <w:rPr>
          <w:rFonts w:ascii="宋体" w:hAnsi="宋体" w:eastAsia="宋体" w:cs="宋体"/>
          <w:sz w:val="24"/>
          <w:szCs w:val="24"/>
        </w:rPr>
        <w:t>14.1 除项目不涉及或采购活动中明确约定无须承担外，乙方还应提供下列服务：</w:t>
      </w:r>
    </w:p>
    <w:p w14:paraId="26384BAC">
      <w:pPr>
        <w:pStyle w:val="14"/>
        <w:spacing w:line="360" w:lineRule="auto"/>
        <w:rPr>
          <w:rFonts w:hint="default" w:ascii="宋体" w:hAnsi="宋体" w:eastAsia="宋体" w:cs="宋体"/>
          <w:sz w:val="24"/>
          <w:szCs w:val="24"/>
        </w:rPr>
      </w:pPr>
      <w:r>
        <w:rPr>
          <w:rFonts w:ascii="宋体" w:hAnsi="宋体" w:eastAsia="宋体" w:cs="宋体"/>
          <w:sz w:val="24"/>
          <w:szCs w:val="24"/>
        </w:rPr>
        <w:t>（1）货物的现场移动、安装、调试、启动监督及技术支持；</w:t>
      </w:r>
    </w:p>
    <w:p w14:paraId="17B940FE">
      <w:pPr>
        <w:pStyle w:val="14"/>
        <w:spacing w:line="360" w:lineRule="auto"/>
        <w:rPr>
          <w:rFonts w:hint="default" w:ascii="宋体" w:hAnsi="宋体" w:eastAsia="宋体" w:cs="宋体"/>
          <w:sz w:val="24"/>
          <w:szCs w:val="24"/>
        </w:rPr>
      </w:pPr>
      <w:r>
        <w:rPr>
          <w:rFonts w:ascii="宋体" w:hAnsi="宋体" w:eastAsia="宋体" w:cs="宋体"/>
          <w:sz w:val="24"/>
          <w:szCs w:val="24"/>
        </w:rPr>
        <w:t>（2）提供货物组装和维修所需的专用工具和辅助材料；</w:t>
      </w:r>
    </w:p>
    <w:p w14:paraId="1088E325">
      <w:pPr>
        <w:pStyle w:val="14"/>
        <w:spacing w:line="360" w:lineRule="auto"/>
        <w:rPr>
          <w:rFonts w:hint="default" w:ascii="宋体" w:hAnsi="宋体" w:eastAsia="宋体" w:cs="宋体"/>
          <w:sz w:val="24"/>
          <w:szCs w:val="24"/>
        </w:rPr>
      </w:pPr>
      <w:r>
        <w:rPr>
          <w:rFonts w:ascii="宋体" w:hAnsi="宋体" w:eastAsia="宋体" w:cs="宋体"/>
          <w:sz w:val="24"/>
          <w:szCs w:val="24"/>
        </w:rPr>
        <w:t>（3）在</w:t>
      </w:r>
      <w:r>
        <w:rPr>
          <w:rFonts w:ascii="宋体" w:hAnsi="宋体" w:eastAsia="宋体" w:cs="宋体"/>
          <w:b/>
          <w:sz w:val="24"/>
          <w:szCs w:val="24"/>
        </w:rPr>
        <w:t>【政府采购合同专用条款】</w:t>
      </w:r>
      <w:r>
        <w:rPr>
          <w:rFonts w:ascii="宋体" w:hAnsi="宋体" w:eastAsia="宋体" w:cs="宋体"/>
          <w:sz w:val="24"/>
          <w:szCs w:val="24"/>
        </w:rPr>
        <w:t>约定的期限内对所有的货物实施运行监督、维修，但前提条件是该服务并不能免除乙方在质量保证期内所承担的义务；</w:t>
      </w:r>
    </w:p>
    <w:p w14:paraId="2F1BED9A">
      <w:pPr>
        <w:pStyle w:val="14"/>
        <w:spacing w:line="360" w:lineRule="auto"/>
        <w:rPr>
          <w:rFonts w:hint="default" w:ascii="宋体" w:hAnsi="宋体" w:eastAsia="宋体" w:cs="宋体"/>
          <w:sz w:val="24"/>
          <w:szCs w:val="24"/>
        </w:rPr>
      </w:pPr>
      <w:r>
        <w:rPr>
          <w:rFonts w:ascii="宋体" w:hAnsi="宋体" w:eastAsia="宋体" w:cs="宋体"/>
          <w:sz w:val="24"/>
          <w:szCs w:val="24"/>
        </w:rPr>
        <w:t>（4）在制造商所在地或指定现场就货物的安装、启动、运营、维护、废弃处置等对甲方操作人员进行培训；</w:t>
      </w:r>
    </w:p>
    <w:p w14:paraId="21F7DB28">
      <w:pPr>
        <w:pStyle w:val="14"/>
        <w:spacing w:line="360" w:lineRule="auto"/>
        <w:rPr>
          <w:rFonts w:hint="default" w:ascii="宋体" w:hAnsi="宋体" w:eastAsia="宋体" w:cs="宋体"/>
          <w:sz w:val="24"/>
          <w:szCs w:val="24"/>
        </w:rPr>
      </w:pPr>
      <w:r>
        <w:rPr>
          <w:rFonts w:ascii="宋体" w:hAnsi="宋体" w:eastAsia="宋体" w:cs="宋体"/>
          <w:sz w:val="24"/>
          <w:szCs w:val="24"/>
        </w:rPr>
        <w:t>（5）依照法律、行政法规的规定或者按照</w:t>
      </w:r>
      <w:r>
        <w:rPr>
          <w:rFonts w:ascii="宋体" w:hAnsi="宋体" w:eastAsia="宋体" w:cs="宋体"/>
          <w:b/>
          <w:sz w:val="24"/>
          <w:szCs w:val="24"/>
        </w:rPr>
        <w:t>【政府采购合同专用条款】</w:t>
      </w:r>
      <w:r>
        <w:rPr>
          <w:rFonts w:ascii="宋体" w:hAnsi="宋体" w:eastAsia="宋体" w:cs="宋体"/>
          <w:sz w:val="24"/>
          <w:szCs w:val="24"/>
        </w:rPr>
        <w:t>约定，货物在有效使用年限届满后应予回收的，乙方负有自行或者委托第三人对货物予以回收的义务；</w:t>
      </w:r>
    </w:p>
    <w:p w14:paraId="27DBC69E">
      <w:pPr>
        <w:pStyle w:val="14"/>
        <w:spacing w:line="360" w:lineRule="auto"/>
        <w:rPr>
          <w:rFonts w:hint="default" w:ascii="宋体" w:hAnsi="宋体" w:eastAsia="宋体" w:cs="宋体"/>
          <w:sz w:val="24"/>
          <w:szCs w:val="24"/>
        </w:rPr>
      </w:pPr>
      <w:r>
        <w:rPr>
          <w:rFonts w:ascii="宋体" w:hAnsi="宋体" w:eastAsia="宋体" w:cs="宋体"/>
          <w:sz w:val="24"/>
          <w:szCs w:val="24"/>
        </w:rPr>
        <w:t>（6）</w:t>
      </w:r>
      <w:r>
        <w:rPr>
          <w:rFonts w:ascii="宋体" w:hAnsi="宋体" w:eastAsia="宋体" w:cs="宋体"/>
          <w:b/>
          <w:sz w:val="24"/>
          <w:szCs w:val="24"/>
        </w:rPr>
        <w:t>【政府采购合同专用条款】</w:t>
      </w:r>
      <w:r>
        <w:rPr>
          <w:rFonts w:ascii="宋体" w:hAnsi="宋体" w:eastAsia="宋体" w:cs="宋体"/>
          <w:sz w:val="24"/>
          <w:szCs w:val="24"/>
        </w:rPr>
        <w:t>规定由乙方提供的其他服务。</w:t>
      </w:r>
    </w:p>
    <w:p w14:paraId="59AF344C">
      <w:pPr>
        <w:pStyle w:val="14"/>
        <w:spacing w:line="360" w:lineRule="auto"/>
        <w:rPr>
          <w:rFonts w:hint="default" w:ascii="宋体" w:hAnsi="宋体" w:eastAsia="宋体" w:cs="宋体"/>
          <w:sz w:val="24"/>
          <w:szCs w:val="24"/>
        </w:rPr>
      </w:pPr>
      <w:r>
        <w:rPr>
          <w:rFonts w:ascii="宋体" w:hAnsi="宋体" w:eastAsia="宋体" w:cs="宋体"/>
          <w:sz w:val="24"/>
          <w:szCs w:val="24"/>
        </w:rPr>
        <w:t>14.2 乙方提供的售后服务的费用已包含在合同价款中，甲方不再另行支付。</w:t>
      </w:r>
    </w:p>
    <w:p w14:paraId="5320D64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15. 违约责任</w:t>
      </w:r>
    </w:p>
    <w:p w14:paraId="68EA363C">
      <w:pPr>
        <w:pStyle w:val="14"/>
        <w:spacing w:line="360" w:lineRule="auto"/>
        <w:rPr>
          <w:rFonts w:hint="default" w:ascii="宋体" w:hAnsi="宋体" w:eastAsia="宋体" w:cs="宋体"/>
          <w:sz w:val="24"/>
          <w:szCs w:val="24"/>
        </w:rPr>
      </w:pPr>
      <w:r>
        <w:rPr>
          <w:rFonts w:ascii="宋体" w:hAnsi="宋体" w:eastAsia="宋体" w:cs="宋体"/>
          <w:sz w:val="24"/>
          <w:szCs w:val="24"/>
        </w:rPr>
        <w:t>15.1质量瑕疵的违约责任</w:t>
      </w:r>
    </w:p>
    <w:p w14:paraId="6309EDDA">
      <w:pPr>
        <w:pStyle w:val="14"/>
        <w:spacing w:line="360" w:lineRule="auto"/>
        <w:rPr>
          <w:rFonts w:hint="default" w:ascii="宋体" w:hAnsi="宋体" w:eastAsia="宋体" w:cs="宋体"/>
          <w:sz w:val="24"/>
          <w:szCs w:val="24"/>
        </w:rPr>
      </w:pPr>
      <w:r>
        <w:rPr>
          <w:rFonts w:ascii="宋体" w:hAnsi="宋体" w:eastAsia="宋体" w:cs="宋体"/>
          <w:sz w:val="24"/>
          <w:szCs w:val="24"/>
        </w:rPr>
        <w:t>乙方提供的产品不符合合同约定的质量标准或存在产品质量缺陷，甲方有权要求乙方根据</w:t>
      </w:r>
      <w:r>
        <w:rPr>
          <w:rFonts w:ascii="宋体" w:hAnsi="宋体" w:eastAsia="宋体" w:cs="宋体"/>
          <w:b/>
          <w:sz w:val="24"/>
          <w:szCs w:val="24"/>
        </w:rPr>
        <w:t>【政府采购合同专用条款】</w:t>
      </w:r>
      <w:r>
        <w:rPr>
          <w:rFonts w:ascii="宋体" w:hAnsi="宋体" w:eastAsia="宋体" w:cs="宋体"/>
          <w:sz w:val="24"/>
          <w:szCs w:val="24"/>
        </w:rPr>
        <w:t>要求及时修理、重作、更换，并承担由此给甲方造成的损失。</w:t>
      </w:r>
    </w:p>
    <w:p w14:paraId="52E919AC">
      <w:pPr>
        <w:pStyle w:val="14"/>
        <w:spacing w:line="360" w:lineRule="auto"/>
        <w:rPr>
          <w:rFonts w:hint="default" w:ascii="宋体" w:hAnsi="宋体" w:eastAsia="宋体" w:cs="宋体"/>
          <w:sz w:val="24"/>
          <w:szCs w:val="24"/>
        </w:rPr>
      </w:pPr>
      <w:r>
        <w:rPr>
          <w:rFonts w:ascii="宋体" w:hAnsi="宋体" w:eastAsia="宋体" w:cs="宋体"/>
          <w:sz w:val="24"/>
          <w:szCs w:val="24"/>
        </w:rPr>
        <w:t>15.2 迟延交货的违约责任</w:t>
      </w:r>
    </w:p>
    <w:p w14:paraId="790CF4EC">
      <w:pPr>
        <w:pStyle w:val="14"/>
        <w:spacing w:line="360" w:lineRule="auto"/>
        <w:rPr>
          <w:rFonts w:hint="default" w:ascii="宋体" w:hAnsi="宋体" w:eastAsia="宋体" w:cs="宋体"/>
          <w:sz w:val="24"/>
          <w:szCs w:val="24"/>
        </w:rPr>
      </w:pPr>
      <w:r>
        <w:rPr>
          <w:rFonts w:ascii="宋体" w:hAnsi="宋体" w:eastAsia="宋体" w:cs="宋体"/>
          <w:sz w:val="24"/>
          <w:szCs w:val="24"/>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3BFF4B3D">
      <w:pPr>
        <w:pStyle w:val="14"/>
        <w:spacing w:line="360" w:lineRule="auto"/>
        <w:rPr>
          <w:rFonts w:hint="default" w:ascii="宋体" w:hAnsi="宋体" w:eastAsia="宋体" w:cs="宋体"/>
          <w:sz w:val="24"/>
          <w:szCs w:val="24"/>
        </w:rPr>
      </w:pPr>
      <w:r>
        <w:rPr>
          <w:rFonts w:ascii="宋体" w:hAnsi="宋体" w:eastAsia="宋体" w:cs="宋体"/>
          <w:sz w:val="24"/>
          <w:szCs w:val="24"/>
        </w:rPr>
        <w:t>（2）如果乙方没有按照合同规定的时间交货和提供相关服务，甲方有权从货款中扣除误期赔偿费而不影响合同项下的其他补救方法，赔偿费按</w:t>
      </w:r>
      <w:r>
        <w:rPr>
          <w:rFonts w:ascii="宋体" w:hAnsi="宋体" w:eastAsia="宋体" w:cs="宋体"/>
          <w:b/>
          <w:sz w:val="24"/>
          <w:szCs w:val="24"/>
        </w:rPr>
        <w:t>【政府采购合同专用条款】</w:t>
      </w:r>
      <w:r>
        <w:rPr>
          <w:rFonts w:ascii="宋体" w:hAnsi="宋体" w:eastAsia="宋体" w:cs="宋体"/>
          <w:sz w:val="24"/>
          <w:szCs w:val="24"/>
        </w:rPr>
        <w:t>规定执行。如果涉及公共利益，且赔偿金额无法弥补公共利益损失，甲方可要求继续履行或者采取其他补救措施。</w:t>
      </w:r>
    </w:p>
    <w:p w14:paraId="20000003">
      <w:pPr>
        <w:pStyle w:val="14"/>
        <w:spacing w:line="360" w:lineRule="auto"/>
        <w:rPr>
          <w:rFonts w:hint="default" w:ascii="宋体" w:hAnsi="宋体" w:eastAsia="宋体" w:cs="宋体"/>
          <w:sz w:val="24"/>
          <w:szCs w:val="24"/>
        </w:rPr>
      </w:pPr>
      <w:r>
        <w:rPr>
          <w:rFonts w:ascii="宋体" w:hAnsi="宋体" w:eastAsia="宋体" w:cs="宋体"/>
          <w:sz w:val="24"/>
          <w:szCs w:val="24"/>
        </w:rPr>
        <w:t>15.3 迟延支付的违约责任</w:t>
      </w:r>
    </w:p>
    <w:p w14:paraId="6EE933B2">
      <w:pPr>
        <w:pStyle w:val="14"/>
        <w:spacing w:line="360" w:lineRule="auto"/>
        <w:rPr>
          <w:rFonts w:hint="default" w:ascii="宋体" w:hAnsi="宋体" w:eastAsia="宋体" w:cs="宋体"/>
          <w:sz w:val="24"/>
          <w:szCs w:val="24"/>
        </w:rPr>
      </w:pPr>
      <w:r>
        <w:rPr>
          <w:rFonts w:ascii="宋体" w:hAnsi="宋体" w:eastAsia="宋体" w:cs="宋体"/>
          <w:sz w:val="24"/>
          <w:szCs w:val="24"/>
        </w:rPr>
        <w:t>甲方存在迟延支付乙方合同款项的，应当承担</w:t>
      </w:r>
      <w:r>
        <w:rPr>
          <w:rFonts w:ascii="宋体" w:hAnsi="宋体" w:eastAsia="宋体" w:cs="宋体"/>
          <w:b/>
          <w:sz w:val="24"/>
          <w:szCs w:val="24"/>
        </w:rPr>
        <w:t>【政府采购合同专用条款】</w:t>
      </w:r>
      <w:r>
        <w:rPr>
          <w:rFonts w:ascii="宋体" w:hAnsi="宋体" w:eastAsia="宋体" w:cs="宋体"/>
          <w:sz w:val="24"/>
          <w:szCs w:val="24"/>
        </w:rPr>
        <w:t>规定的逾期付款利息。</w:t>
      </w:r>
    </w:p>
    <w:p w14:paraId="34DF570C">
      <w:pPr>
        <w:pStyle w:val="14"/>
        <w:spacing w:line="360" w:lineRule="auto"/>
        <w:rPr>
          <w:rFonts w:hint="default" w:ascii="宋体" w:hAnsi="宋体" w:eastAsia="宋体" w:cs="宋体"/>
          <w:sz w:val="24"/>
          <w:szCs w:val="24"/>
        </w:rPr>
      </w:pPr>
      <w:r>
        <w:rPr>
          <w:rFonts w:ascii="宋体" w:hAnsi="宋体" w:eastAsia="宋体" w:cs="宋体"/>
          <w:sz w:val="24"/>
          <w:szCs w:val="24"/>
        </w:rPr>
        <w:t>15.4其他违约责任根据项目实际需要按</w:t>
      </w:r>
      <w:r>
        <w:rPr>
          <w:rFonts w:ascii="宋体" w:hAnsi="宋体" w:eastAsia="宋体" w:cs="宋体"/>
          <w:b/>
          <w:sz w:val="24"/>
          <w:szCs w:val="24"/>
        </w:rPr>
        <w:t>【政府采购合同专用条款】</w:t>
      </w:r>
      <w:r>
        <w:rPr>
          <w:rFonts w:ascii="宋体" w:hAnsi="宋体" w:eastAsia="宋体" w:cs="宋体"/>
          <w:sz w:val="24"/>
          <w:szCs w:val="24"/>
        </w:rPr>
        <w:t>规定执行。</w:t>
      </w:r>
    </w:p>
    <w:p w14:paraId="4FFF6E15">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16.合同变更、中止与终止</w:t>
      </w:r>
    </w:p>
    <w:p w14:paraId="563208E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16.1合同的变更</w:t>
      </w:r>
    </w:p>
    <w:p w14:paraId="026AE055">
      <w:pPr>
        <w:pStyle w:val="14"/>
        <w:spacing w:line="360" w:lineRule="auto"/>
        <w:rPr>
          <w:rFonts w:hint="default" w:ascii="宋体" w:hAnsi="宋体" w:eastAsia="宋体" w:cs="宋体"/>
          <w:sz w:val="24"/>
          <w:szCs w:val="24"/>
        </w:rPr>
      </w:pPr>
      <w:r>
        <w:rPr>
          <w:rFonts w:ascii="宋体" w:hAnsi="宋体" w:eastAsia="宋体" w:cs="宋体"/>
          <w:sz w:val="24"/>
          <w:szCs w:val="24"/>
        </w:rPr>
        <w:t>政府采购合同履行中，在不改变合同其他条款的前提下，甲方可以在合同价款10%的范围内追加与合同标的相同的货物，并就此与乙方协商一致后签订补充协议。</w:t>
      </w:r>
    </w:p>
    <w:p w14:paraId="738DBC9A">
      <w:pPr>
        <w:pStyle w:val="14"/>
        <w:spacing w:line="360" w:lineRule="auto"/>
        <w:rPr>
          <w:rFonts w:hint="default" w:ascii="宋体" w:hAnsi="宋体" w:eastAsia="宋体" w:cs="宋体"/>
          <w:sz w:val="24"/>
          <w:szCs w:val="24"/>
        </w:rPr>
      </w:pPr>
      <w:r>
        <w:rPr>
          <w:rFonts w:ascii="宋体" w:hAnsi="宋体" w:eastAsia="宋体" w:cs="宋体"/>
          <w:sz w:val="24"/>
          <w:szCs w:val="24"/>
        </w:rPr>
        <w:t>16.2合同的中止</w:t>
      </w:r>
    </w:p>
    <w:p w14:paraId="300E5CD3">
      <w:pPr>
        <w:pStyle w:val="14"/>
        <w:spacing w:line="360" w:lineRule="auto"/>
        <w:rPr>
          <w:rFonts w:hint="default" w:ascii="宋体" w:hAnsi="宋体" w:eastAsia="宋体" w:cs="宋体"/>
          <w:sz w:val="24"/>
          <w:szCs w:val="24"/>
        </w:rPr>
      </w:pPr>
      <w:r>
        <w:rPr>
          <w:rFonts w:ascii="宋体" w:hAnsi="宋体" w:eastAsia="宋体" w:cs="宋体"/>
          <w:sz w:val="24"/>
          <w:szCs w:val="24"/>
        </w:rPr>
        <w:t>（1）合同履行过程中因供应商就采购文件、采购过程或结果提起投诉的，甲方认为有必要的，可以中止合同的履行。</w:t>
      </w:r>
    </w:p>
    <w:p w14:paraId="689A181B">
      <w:pPr>
        <w:pStyle w:val="14"/>
        <w:spacing w:line="360" w:lineRule="auto"/>
        <w:rPr>
          <w:rFonts w:hint="default" w:ascii="宋体" w:hAnsi="宋体" w:eastAsia="宋体" w:cs="宋体"/>
          <w:sz w:val="24"/>
          <w:szCs w:val="24"/>
        </w:rPr>
      </w:pPr>
      <w:r>
        <w:rPr>
          <w:rFonts w:ascii="宋体" w:hAnsi="宋体" w:eastAsia="宋体" w:cs="宋体"/>
          <w:sz w:val="24"/>
          <w:szCs w:val="24"/>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A678075">
      <w:pPr>
        <w:pStyle w:val="14"/>
        <w:spacing w:line="360" w:lineRule="auto"/>
        <w:rPr>
          <w:rFonts w:hint="default" w:ascii="宋体" w:hAnsi="宋体" w:eastAsia="宋体" w:cs="宋体"/>
          <w:sz w:val="24"/>
          <w:szCs w:val="24"/>
        </w:rPr>
      </w:pPr>
      <w:r>
        <w:rPr>
          <w:rFonts w:ascii="宋体" w:hAnsi="宋体" w:eastAsia="宋体" w:cs="宋体"/>
          <w:sz w:val="24"/>
          <w:szCs w:val="24"/>
        </w:rPr>
        <w:t>（3）乙方分立、合并或者变更住所的，应当及时以书面形式告知甲方。乙方没有及时告知甲方，致使合同履行发生困难的，甲方可以中止合同履行并要求乙方承担由此给甲方造成的损失。</w:t>
      </w:r>
    </w:p>
    <w:p w14:paraId="6EC15A1A">
      <w:pPr>
        <w:pStyle w:val="14"/>
        <w:spacing w:line="360" w:lineRule="auto"/>
        <w:rPr>
          <w:rFonts w:hint="default" w:ascii="宋体" w:hAnsi="宋体" w:eastAsia="宋体" w:cs="宋体"/>
          <w:sz w:val="24"/>
          <w:szCs w:val="24"/>
        </w:rPr>
      </w:pPr>
      <w:r>
        <w:rPr>
          <w:rFonts w:ascii="宋体" w:hAnsi="宋体" w:eastAsia="宋体" w:cs="宋体"/>
          <w:sz w:val="24"/>
          <w:szCs w:val="24"/>
        </w:rPr>
        <w:t>（4）甲方不得以行政区划调整、政府换届、机构或者职能调整以及相关责任人更替为由中止合同。</w:t>
      </w:r>
    </w:p>
    <w:p w14:paraId="02DB3B0C">
      <w:pPr>
        <w:pStyle w:val="14"/>
        <w:spacing w:line="360" w:lineRule="auto"/>
        <w:rPr>
          <w:rFonts w:hint="default" w:ascii="宋体" w:hAnsi="宋体" w:eastAsia="宋体" w:cs="宋体"/>
          <w:sz w:val="24"/>
          <w:szCs w:val="24"/>
        </w:rPr>
      </w:pPr>
      <w:r>
        <w:rPr>
          <w:rFonts w:ascii="宋体" w:hAnsi="宋体" w:eastAsia="宋体" w:cs="宋体"/>
          <w:sz w:val="24"/>
          <w:szCs w:val="24"/>
        </w:rPr>
        <w:t>16.3合同的终止</w:t>
      </w:r>
    </w:p>
    <w:p w14:paraId="2C5BD3A1">
      <w:pPr>
        <w:pStyle w:val="14"/>
        <w:spacing w:line="360" w:lineRule="auto"/>
        <w:rPr>
          <w:rFonts w:hint="default" w:ascii="宋体" w:hAnsi="宋体" w:eastAsia="宋体" w:cs="宋体"/>
          <w:sz w:val="24"/>
          <w:szCs w:val="24"/>
        </w:rPr>
      </w:pPr>
      <w:r>
        <w:rPr>
          <w:rFonts w:ascii="宋体" w:hAnsi="宋体" w:eastAsia="宋体" w:cs="宋体"/>
          <w:sz w:val="24"/>
          <w:szCs w:val="24"/>
        </w:rPr>
        <w:t>（1）合同因有效期限届满而终止；</w:t>
      </w:r>
    </w:p>
    <w:p w14:paraId="1085298A">
      <w:pPr>
        <w:pStyle w:val="14"/>
        <w:spacing w:line="360" w:lineRule="auto"/>
        <w:rPr>
          <w:rFonts w:hint="default" w:ascii="宋体" w:hAnsi="宋体" w:eastAsia="宋体" w:cs="宋体"/>
          <w:sz w:val="24"/>
          <w:szCs w:val="24"/>
        </w:rPr>
      </w:pPr>
      <w:r>
        <w:rPr>
          <w:rFonts w:ascii="宋体" w:hAnsi="宋体" w:eastAsia="宋体" w:cs="宋体"/>
          <w:sz w:val="24"/>
          <w:szCs w:val="24"/>
        </w:rPr>
        <w:t>（2）乙方未按合同约定履行，构成根本性违约的，甲方有权终止合同，并追究乙方的违约责任。</w:t>
      </w:r>
    </w:p>
    <w:p w14:paraId="5EEDF272">
      <w:pPr>
        <w:pStyle w:val="14"/>
        <w:spacing w:line="360" w:lineRule="auto"/>
        <w:rPr>
          <w:rFonts w:hint="default" w:ascii="宋体" w:hAnsi="宋体" w:eastAsia="宋体" w:cs="宋体"/>
          <w:sz w:val="24"/>
          <w:szCs w:val="24"/>
        </w:rPr>
      </w:pPr>
      <w:r>
        <w:rPr>
          <w:rFonts w:ascii="宋体" w:hAnsi="宋体" w:eastAsia="宋体" w:cs="宋体"/>
          <w:sz w:val="24"/>
          <w:szCs w:val="24"/>
        </w:rPr>
        <w:t>16.4 涉及国家利益、社会公共利益的情形</w:t>
      </w:r>
    </w:p>
    <w:p w14:paraId="51B92EC6">
      <w:pPr>
        <w:pStyle w:val="14"/>
        <w:spacing w:line="360" w:lineRule="auto"/>
        <w:rPr>
          <w:rFonts w:hint="default" w:ascii="宋体" w:hAnsi="宋体" w:eastAsia="宋体" w:cs="宋体"/>
          <w:sz w:val="24"/>
          <w:szCs w:val="24"/>
        </w:rPr>
      </w:pPr>
      <w:r>
        <w:rPr>
          <w:rFonts w:ascii="宋体" w:hAnsi="宋体" w:eastAsia="宋体" w:cs="宋体"/>
          <w:sz w:val="24"/>
          <w:szCs w:val="24"/>
        </w:rPr>
        <w:t>政府采购合同继续履行将损害国家利益和社会公共利益的，双方当事人应当变更、中止或者终止合同。有过错的一方应当承担赔偿责任，双方都有过错的，各自承担相应的责任。</w:t>
      </w:r>
    </w:p>
    <w:p w14:paraId="26C6F15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17. 合同分包</w:t>
      </w:r>
    </w:p>
    <w:p w14:paraId="23A5599B">
      <w:pPr>
        <w:pStyle w:val="14"/>
        <w:spacing w:line="360" w:lineRule="auto"/>
        <w:rPr>
          <w:rFonts w:hint="default" w:ascii="宋体" w:hAnsi="宋体" w:eastAsia="宋体" w:cs="宋体"/>
          <w:sz w:val="24"/>
          <w:szCs w:val="24"/>
        </w:rPr>
      </w:pPr>
      <w:r>
        <w:rPr>
          <w:rFonts w:ascii="宋体" w:hAnsi="宋体" w:eastAsia="宋体" w:cs="宋体"/>
          <w:sz w:val="24"/>
          <w:szCs w:val="24"/>
        </w:rPr>
        <w:t>17.1 乙方不得将合同转包给其他供应商。涉及合同分包的，乙方应根据采购文件和投标（响应）文件规定进行合同分包。</w:t>
      </w:r>
    </w:p>
    <w:p w14:paraId="49BBB9AB">
      <w:pPr>
        <w:pStyle w:val="14"/>
        <w:spacing w:line="360" w:lineRule="auto"/>
        <w:rPr>
          <w:rFonts w:hint="default" w:ascii="宋体" w:hAnsi="宋体" w:eastAsia="宋体" w:cs="宋体"/>
          <w:sz w:val="24"/>
          <w:szCs w:val="24"/>
        </w:rPr>
      </w:pPr>
      <w:r>
        <w:rPr>
          <w:rFonts w:ascii="宋体" w:hAnsi="宋体" w:eastAsia="宋体" w:cs="宋体"/>
          <w:sz w:val="24"/>
          <w:szCs w:val="24"/>
        </w:rPr>
        <w:t>17.2 乙方执行政府采购政策向中小企业依法分包的，乙方应当按采购文件和投标（响应）文件签订分包意向协议，分包意向协议属于本合同组成部分。</w:t>
      </w:r>
    </w:p>
    <w:p w14:paraId="7AF78ACC">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18. 不可抗力</w:t>
      </w:r>
    </w:p>
    <w:p w14:paraId="11BC5B2A">
      <w:pPr>
        <w:pStyle w:val="14"/>
        <w:spacing w:line="360" w:lineRule="auto"/>
        <w:rPr>
          <w:rFonts w:hint="default" w:ascii="宋体" w:hAnsi="宋体" w:eastAsia="宋体" w:cs="宋体"/>
          <w:sz w:val="24"/>
          <w:szCs w:val="24"/>
        </w:rPr>
      </w:pPr>
      <w:r>
        <w:rPr>
          <w:rFonts w:ascii="宋体" w:hAnsi="宋体" w:eastAsia="宋体" w:cs="宋体"/>
          <w:sz w:val="24"/>
          <w:szCs w:val="24"/>
        </w:rPr>
        <w:t>18.1 不可抗力是指合同双方不能预见、不能避免且不能克服的客观情况。</w:t>
      </w:r>
    </w:p>
    <w:p w14:paraId="7C70CE6C">
      <w:pPr>
        <w:pStyle w:val="14"/>
        <w:spacing w:line="360" w:lineRule="auto"/>
        <w:rPr>
          <w:rFonts w:hint="default" w:ascii="宋体" w:hAnsi="宋体" w:eastAsia="宋体" w:cs="宋体"/>
          <w:sz w:val="24"/>
          <w:szCs w:val="24"/>
        </w:rPr>
      </w:pPr>
      <w:r>
        <w:rPr>
          <w:rFonts w:ascii="宋体" w:hAnsi="宋体" w:eastAsia="宋体" w:cs="宋体"/>
          <w:sz w:val="24"/>
          <w:szCs w:val="24"/>
        </w:rPr>
        <w:t>18.2 任何一方对由于不可抗力造成的部分或全部不能履行合同不承担违约责任。但迟延履行后发生不可抗力的，不能免除责任。</w:t>
      </w:r>
    </w:p>
    <w:p w14:paraId="4D992CE1">
      <w:pPr>
        <w:pStyle w:val="14"/>
        <w:spacing w:line="360" w:lineRule="auto"/>
        <w:rPr>
          <w:rFonts w:hint="default" w:ascii="宋体" w:hAnsi="宋体" w:eastAsia="宋体" w:cs="宋体"/>
          <w:sz w:val="24"/>
          <w:szCs w:val="24"/>
        </w:rPr>
      </w:pPr>
      <w:r>
        <w:rPr>
          <w:rFonts w:ascii="宋体" w:hAnsi="宋体" w:eastAsia="宋体" w:cs="宋体"/>
          <w:sz w:val="24"/>
          <w:szCs w:val="24"/>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E79B9B4">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19. 解决争议的方法</w:t>
      </w:r>
    </w:p>
    <w:p w14:paraId="24232F14">
      <w:pPr>
        <w:pStyle w:val="14"/>
        <w:spacing w:line="360" w:lineRule="auto"/>
        <w:rPr>
          <w:rFonts w:hint="default" w:ascii="宋体" w:hAnsi="宋体" w:eastAsia="宋体" w:cs="宋体"/>
          <w:sz w:val="24"/>
          <w:szCs w:val="24"/>
        </w:rPr>
      </w:pPr>
      <w:r>
        <w:rPr>
          <w:rFonts w:ascii="宋体" w:hAnsi="宋体" w:eastAsia="宋体" w:cs="宋体"/>
          <w:sz w:val="24"/>
          <w:szCs w:val="24"/>
        </w:rPr>
        <w:t>19.1 因本合同及合同有关事项发生的争议，由甲乙双方友好协商解决。协商不成时，可以向有关组织申请调解。合同一方或双方不愿调解或调解不成的，可以通过仲裁或诉讼的方式解决争议。</w:t>
      </w:r>
    </w:p>
    <w:p w14:paraId="2E3A9029">
      <w:pPr>
        <w:pStyle w:val="14"/>
        <w:spacing w:line="360" w:lineRule="auto"/>
        <w:rPr>
          <w:rFonts w:hint="default" w:ascii="宋体" w:hAnsi="宋体" w:eastAsia="宋体" w:cs="宋体"/>
          <w:sz w:val="24"/>
          <w:szCs w:val="24"/>
        </w:rPr>
      </w:pPr>
      <w:r>
        <w:rPr>
          <w:rFonts w:ascii="宋体" w:hAnsi="宋体" w:eastAsia="宋体" w:cs="宋体"/>
          <w:sz w:val="24"/>
          <w:szCs w:val="24"/>
        </w:rPr>
        <w:t>19.2 选择仲裁的，应在</w:t>
      </w:r>
      <w:r>
        <w:rPr>
          <w:rFonts w:ascii="宋体" w:hAnsi="宋体" w:eastAsia="宋体" w:cs="宋体"/>
          <w:b/>
          <w:sz w:val="24"/>
          <w:szCs w:val="24"/>
        </w:rPr>
        <w:t>【政府采购合同专用条款】</w:t>
      </w:r>
      <w:r>
        <w:rPr>
          <w:rFonts w:ascii="宋体" w:hAnsi="宋体" w:eastAsia="宋体" w:cs="宋体"/>
          <w:sz w:val="24"/>
          <w:szCs w:val="24"/>
        </w:rPr>
        <w:t>中明确仲裁机构及仲裁地；通过诉讼方式解决的，可以在</w:t>
      </w:r>
      <w:r>
        <w:rPr>
          <w:rFonts w:ascii="宋体" w:hAnsi="宋体" w:eastAsia="宋体" w:cs="宋体"/>
          <w:b/>
          <w:sz w:val="24"/>
          <w:szCs w:val="24"/>
        </w:rPr>
        <w:t>【政府采购合同专用条款】</w:t>
      </w:r>
      <w:r>
        <w:rPr>
          <w:rFonts w:ascii="宋体" w:hAnsi="宋体" w:eastAsia="宋体" w:cs="宋体"/>
          <w:sz w:val="24"/>
          <w:szCs w:val="24"/>
        </w:rPr>
        <w:t>中进一步约定选择与争议有实际联系的地点的人民法院管辖，但管辖法院的约定不得违反级别管辖和专属管辖的规定。</w:t>
      </w:r>
    </w:p>
    <w:p w14:paraId="3C8CC2BC">
      <w:pPr>
        <w:pStyle w:val="14"/>
        <w:spacing w:line="360" w:lineRule="auto"/>
        <w:rPr>
          <w:rFonts w:hint="default" w:ascii="宋体" w:hAnsi="宋体" w:eastAsia="宋体" w:cs="宋体"/>
          <w:sz w:val="24"/>
          <w:szCs w:val="24"/>
        </w:rPr>
      </w:pPr>
      <w:r>
        <w:rPr>
          <w:rFonts w:ascii="宋体" w:hAnsi="宋体" w:eastAsia="宋体" w:cs="宋体"/>
          <w:sz w:val="24"/>
          <w:szCs w:val="24"/>
        </w:rPr>
        <w:t>19.3 如甲乙双方有争议的事项不影响合同其他部分的履行，在争议解决期间，合同其他部分应当继续履行。</w:t>
      </w:r>
    </w:p>
    <w:p w14:paraId="53AEB1A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20. 政府采购政策</w:t>
      </w:r>
    </w:p>
    <w:p w14:paraId="2F2E471E">
      <w:pPr>
        <w:pStyle w:val="14"/>
        <w:spacing w:line="360" w:lineRule="auto"/>
        <w:rPr>
          <w:rFonts w:hint="default" w:ascii="宋体" w:hAnsi="宋体" w:eastAsia="宋体" w:cs="宋体"/>
          <w:sz w:val="24"/>
          <w:szCs w:val="24"/>
        </w:rPr>
      </w:pPr>
      <w:r>
        <w:rPr>
          <w:rFonts w:ascii="宋体" w:hAnsi="宋体" w:eastAsia="宋体" w:cs="宋体"/>
          <w:sz w:val="24"/>
          <w:szCs w:val="24"/>
        </w:rPr>
        <w:t>20.1 本合同应当按照规定执行政府采购政策。</w:t>
      </w:r>
    </w:p>
    <w:p w14:paraId="24240B97">
      <w:pPr>
        <w:pStyle w:val="14"/>
        <w:spacing w:line="360" w:lineRule="auto"/>
        <w:rPr>
          <w:rFonts w:hint="default" w:ascii="宋体" w:hAnsi="宋体" w:eastAsia="宋体" w:cs="宋体"/>
          <w:sz w:val="24"/>
          <w:szCs w:val="24"/>
        </w:rPr>
      </w:pPr>
      <w:r>
        <w:rPr>
          <w:rFonts w:ascii="宋体" w:hAnsi="宋体" w:eastAsia="宋体" w:cs="宋体"/>
          <w:sz w:val="24"/>
          <w:szCs w:val="24"/>
        </w:rPr>
        <w:t>20.2 本合同依法执行政府采购政策的方式和内容，属于合同履约验收的范围。甲乙双方未按规定要求执行政府采购政策造成损失的，有过错的一方应当承担赔偿责任，双方都有过错的，各自承担相应的责任。</w:t>
      </w:r>
    </w:p>
    <w:p w14:paraId="1DFD0B68">
      <w:pPr>
        <w:pStyle w:val="14"/>
        <w:spacing w:line="360" w:lineRule="auto"/>
        <w:rPr>
          <w:rFonts w:hint="default" w:ascii="宋体" w:hAnsi="宋体" w:eastAsia="宋体" w:cs="宋体"/>
          <w:sz w:val="24"/>
          <w:szCs w:val="24"/>
        </w:rPr>
      </w:pPr>
      <w:r>
        <w:rPr>
          <w:rFonts w:ascii="宋体" w:hAnsi="宋体" w:eastAsia="宋体" w:cs="宋体"/>
          <w:sz w:val="24"/>
          <w:szCs w:val="24"/>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AC718CE">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21. 法律适用</w:t>
      </w:r>
    </w:p>
    <w:p w14:paraId="4A620945">
      <w:pPr>
        <w:pStyle w:val="14"/>
        <w:spacing w:line="360" w:lineRule="auto"/>
        <w:rPr>
          <w:rFonts w:hint="default" w:ascii="宋体" w:hAnsi="宋体" w:eastAsia="宋体" w:cs="宋体"/>
          <w:sz w:val="24"/>
          <w:szCs w:val="24"/>
        </w:rPr>
      </w:pPr>
      <w:r>
        <w:rPr>
          <w:rFonts w:ascii="宋体" w:hAnsi="宋体" w:eastAsia="宋体" w:cs="宋体"/>
          <w:sz w:val="24"/>
          <w:szCs w:val="24"/>
        </w:rPr>
        <w:t>21.1 本合同的订立、生效、解释、履行及与本合同有关的争议解决，均适用法律、行政法规。</w:t>
      </w:r>
    </w:p>
    <w:p w14:paraId="072BE3E1">
      <w:pPr>
        <w:pStyle w:val="14"/>
        <w:spacing w:line="360" w:lineRule="auto"/>
        <w:rPr>
          <w:rFonts w:hint="default" w:ascii="宋体" w:hAnsi="宋体" w:eastAsia="宋体" w:cs="宋体"/>
          <w:sz w:val="24"/>
          <w:szCs w:val="24"/>
        </w:rPr>
      </w:pPr>
      <w:r>
        <w:rPr>
          <w:rFonts w:ascii="宋体" w:hAnsi="宋体" w:eastAsia="宋体" w:cs="宋体"/>
          <w:sz w:val="24"/>
          <w:szCs w:val="24"/>
        </w:rPr>
        <w:t>21.2 本合同条款与法律、行政法规的强制性规定不一致的，双方当事人应按照法律、行政法规的强制性规定修改本合同的相关条款。</w:t>
      </w:r>
    </w:p>
    <w:p w14:paraId="2715CDF6">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22. 通知</w:t>
      </w:r>
    </w:p>
    <w:p w14:paraId="04114082">
      <w:pPr>
        <w:pStyle w:val="14"/>
        <w:spacing w:line="360" w:lineRule="auto"/>
        <w:rPr>
          <w:rFonts w:hint="default" w:ascii="宋体" w:hAnsi="宋体" w:eastAsia="宋体" w:cs="宋体"/>
          <w:sz w:val="24"/>
          <w:szCs w:val="24"/>
        </w:rPr>
      </w:pPr>
      <w:r>
        <w:rPr>
          <w:rFonts w:ascii="宋体" w:hAnsi="宋体" w:eastAsia="宋体" w:cs="宋体"/>
          <w:sz w:val="24"/>
          <w:szCs w:val="24"/>
        </w:rPr>
        <w:t>22.1 本合同任何一方向对方发出的通知、信件、数据电文等，应当发送至本合同第一部分《政府采购合同协议书》所约定的通讯地址、联系人、联系电话或电子邮箱。</w:t>
      </w:r>
    </w:p>
    <w:p w14:paraId="3679BA84">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22.2 一方当事人变更名称、住所、联系人、联系电话或电子邮箱等信息的，应当在变更后3日内及时书面通知对方，对方实际收到变更通知前的送达仍为有效送达。</w:t>
      </w:r>
    </w:p>
    <w:p w14:paraId="720434CC">
      <w:pPr>
        <w:pStyle w:val="14"/>
        <w:spacing w:line="360" w:lineRule="auto"/>
        <w:rPr>
          <w:rFonts w:hint="default" w:ascii="宋体" w:hAnsi="宋体" w:eastAsia="宋体" w:cs="宋体"/>
          <w:sz w:val="24"/>
          <w:szCs w:val="24"/>
        </w:rPr>
      </w:pPr>
      <w:r>
        <w:rPr>
          <w:rFonts w:ascii="宋体" w:hAnsi="宋体" w:eastAsia="宋体" w:cs="宋体"/>
          <w:sz w:val="24"/>
          <w:szCs w:val="24"/>
        </w:rPr>
        <w:t>22.3本合同一方给另一方的通知均应采用书面形式，传真或快递送到本合同中规定的对方的地址和办理签收手续。</w:t>
      </w:r>
    </w:p>
    <w:p w14:paraId="58013B96">
      <w:pPr>
        <w:pStyle w:val="14"/>
        <w:spacing w:line="360" w:lineRule="auto"/>
        <w:rPr>
          <w:rFonts w:hint="default" w:ascii="宋体" w:hAnsi="宋体" w:eastAsia="宋体" w:cs="宋体"/>
          <w:sz w:val="24"/>
          <w:szCs w:val="24"/>
        </w:rPr>
      </w:pPr>
      <w:r>
        <w:rPr>
          <w:rFonts w:ascii="宋体" w:hAnsi="宋体" w:eastAsia="宋体" w:cs="宋体"/>
          <w:sz w:val="24"/>
          <w:szCs w:val="24"/>
        </w:rPr>
        <w:t>22.4通知以送达之日或通知书中规定的生效之日起生效，两者中以较迟之日为准。</w:t>
      </w:r>
    </w:p>
    <w:p w14:paraId="46EB4119">
      <w:pPr>
        <w:pStyle w:val="14"/>
        <w:spacing w:line="360" w:lineRule="auto"/>
        <w:outlineLvl w:val="2"/>
        <w:rPr>
          <w:rFonts w:hint="default" w:ascii="宋体" w:hAnsi="宋体" w:eastAsia="宋体" w:cs="宋体"/>
          <w:sz w:val="24"/>
          <w:szCs w:val="24"/>
        </w:rPr>
      </w:pPr>
      <w:r>
        <w:rPr>
          <w:rFonts w:ascii="宋体" w:hAnsi="宋体" w:eastAsia="宋体" w:cs="宋体"/>
          <w:b/>
          <w:sz w:val="24"/>
          <w:szCs w:val="24"/>
        </w:rPr>
        <w:t>23.合同未尽事项</w:t>
      </w:r>
    </w:p>
    <w:p w14:paraId="5D34FB6C">
      <w:pPr>
        <w:pStyle w:val="14"/>
        <w:spacing w:line="360" w:lineRule="auto"/>
        <w:rPr>
          <w:rFonts w:hint="default" w:ascii="宋体" w:hAnsi="宋体" w:eastAsia="宋体" w:cs="宋体"/>
          <w:sz w:val="24"/>
          <w:szCs w:val="24"/>
        </w:rPr>
      </w:pPr>
      <w:r>
        <w:rPr>
          <w:rFonts w:ascii="宋体" w:hAnsi="宋体" w:eastAsia="宋体" w:cs="宋体"/>
          <w:sz w:val="24"/>
          <w:szCs w:val="24"/>
        </w:rPr>
        <w:t>23.1合同未尽事项见</w:t>
      </w:r>
      <w:r>
        <w:rPr>
          <w:rFonts w:ascii="宋体" w:hAnsi="宋体" w:eastAsia="宋体" w:cs="宋体"/>
          <w:b/>
          <w:sz w:val="24"/>
          <w:szCs w:val="24"/>
        </w:rPr>
        <w:t>【政府采购合同专用条款】</w:t>
      </w:r>
      <w:r>
        <w:rPr>
          <w:rFonts w:ascii="宋体" w:hAnsi="宋体" w:eastAsia="宋体" w:cs="宋体"/>
          <w:sz w:val="24"/>
          <w:szCs w:val="24"/>
        </w:rPr>
        <w:t>。</w:t>
      </w:r>
    </w:p>
    <w:p w14:paraId="3801593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23.2 合同附件与合同正文具有同等的法律效力。</w:t>
      </w:r>
    </w:p>
    <w:p w14:paraId="43FF470D">
      <w:pPr>
        <w:pStyle w:val="14"/>
        <w:spacing w:line="360" w:lineRule="auto"/>
        <w:jc w:val="center"/>
        <w:outlineLvl w:val="2"/>
        <w:rPr>
          <w:rFonts w:hint="default" w:ascii="宋体" w:hAnsi="宋体" w:eastAsia="宋体" w:cs="宋体"/>
          <w:b/>
          <w:sz w:val="24"/>
          <w:szCs w:val="24"/>
        </w:rPr>
      </w:pPr>
    </w:p>
    <w:p w14:paraId="02AB04CB">
      <w:pPr>
        <w:pStyle w:val="14"/>
        <w:spacing w:line="360" w:lineRule="auto"/>
        <w:jc w:val="center"/>
        <w:outlineLvl w:val="2"/>
        <w:rPr>
          <w:rFonts w:hint="default" w:ascii="宋体" w:hAnsi="宋体" w:eastAsia="宋体" w:cs="宋体"/>
          <w:b/>
          <w:sz w:val="24"/>
          <w:szCs w:val="24"/>
        </w:rPr>
      </w:pPr>
    </w:p>
    <w:p w14:paraId="48EA53EB">
      <w:pPr>
        <w:pStyle w:val="14"/>
        <w:spacing w:line="360" w:lineRule="auto"/>
        <w:jc w:val="center"/>
        <w:outlineLvl w:val="2"/>
        <w:rPr>
          <w:rFonts w:hint="default" w:ascii="宋体" w:hAnsi="宋体" w:eastAsia="宋体" w:cs="宋体"/>
          <w:sz w:val="28"/>
          <w:szCs w:val="28"/>
        </w:rPr>
      </w:pPr>
      <w:r>
        <w:rPr>
          <w:rFonts w:ascii="宋体" w:hAnsi="宋体" w:eastAsia="宋体" w:cs="宋体"/>
          <w:b/>
          <w:sz w:val="28"/>
          <w:szCs w:val="28"/>
        </w:rPr>
        <w:t>第三节 政府采购合同专用条款</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4C063E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769" w:type="dxa"/>
          </w:tcPr>
          <w:p w14:paraId="712B934B">
            <w:pPr>
              <w:pStyle w:val="14"/>
              <w:spacing w:line="360" w:lineRule="auto"/>
              <w:rPr>
                <w:rFonts w:hint="default" w:ascii="宋体" w:hAnsi="宋体" w:eastAsia="宋体" w:cs="宋体"/>
                <w:sz w:val="24"/>
                <w:szCs w:val="24"/>
              </w:rPr>
            </w:pPr>
            <w:r>
              <w:rPr>
                <w:rFonts w:ascii="宋体" w:hAnsi="宋体" w:eastAsia="宋体" w:cs="宋体"/>
                <w:sz w:val="24"/>
                <w:szCs w:val="24"/>
              </w:rPr>
              <w:t>第二节 第1.2（6）项</w:t>
            </w:r>
          </w:p>
        </w:tc>
        <w:tc>
          <w:tcPr>
            <w:tcW w:w="2769" w:type="dxa"/>
          </w:tcPr>
          <w:p w14:paraId="05F1F9D7">
            <w:pPr>
              <w:pStyle w:val="14"/>
              <w:spacing w:line="360" w:lineRule="auto"/>
              <w:rPr>
                <w:rFonts w:hint="default" w:ascii="宋体" w:hAnsi="宋体" w:eastAsia="宋体" w:cs="宋体"/>
                <w:sz w:val="24"/>
                <w:szCs w:val="24"/>
              </w:rPr>
            </w:pPr>
            <w:r>
              <w:rPr>
                <w:rFonts w:ascii="宋体" w:hAnsi="宋体" w:eastAsia="宋体" w:cs="宋体"/>
                <w:sz w:val="24"/>
                <w:szCs w:val="24"/>
              </w:rPr>
              <w:t>联合体具体要求</w:t>
            </w:r>
          </w:p>
        </w:tc>
        <w:tc>
          <w:tcPr>
            <w:tcW w:w="2769" w:type="dxa"/>
          </w:tcPr>
          <w:p w14:paraId="09DB28D4">
            <w:pPr>
              <w:pStyle w:val="14"/>
              <w:spacing w:line="360" w:lineRule="auto"/>
              <w:rPr>
                <w:rFonts w:hint="default" w:ascii="宋体" w:hAnsi="宋体" w:eastAsia="宋体" w:cs="宋体"/>
                <w:sz w:val="24"/>
                <w:szCs w:val="24"/>
              </w:rPr>
            </w:pPr>
          </w:p>
        </w:tc>
      </w:tr>
      <w:tr w14:paraId="3CF41E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6E2AE7">
            <w:pPr>
              <w:pStyle w:val="14"/>
              <w:spacing w:line="360" w:lineRule="auto"/>
              <w:rPr>
                <w:rFonts w:hint="default" w:ascii="宋体" w:hAnsi="宋体" w:eastAsia="宋体" w:cs="宋体"/>
                <w:sz w:val="24"/>
                <w:szCs w:val="24"/>
              </w:rPr>
            </w:pPr>
            <w:r>
              <w:rPr>
                <w:rFonts w:ascii="宋体" w:hAnsi="宋体" w:eastAsia="宋体" w:cs="宋体"/>
                <w:sz w:val="24"/>
                <w:szCs w:val="24"/>
              </w:rPr>
              <w:t>第二节 第1.2（7）项</w:t>
            </w:r>
          </w:p>
        </w:tc>
        <w:tc>
          <w:tcPr>
            <w:tcW w:w="2769" w:type="dxa"/>
          </w:tcPr>
          <w:p w14:paraId="508AC069">
            <w:pPr>
              <w:pStyle w:val="14"/>
              <w:spacing w:line="360" w:lineRule="auto"/>
              <w:rPr>
                <w:rFonts w:hint="default" w:ascii="宋体" w:hAnsi="宋体" w:eastAsia="宋体" w:cs="宋体"/>
                <w:sz w:val="24"/>
                <w:szCs w:val="24"/>
              </w:rPr>
            </w:pPr>
            <w:r>
              <w:rPr>
                <w:rFonts w:ascii="宋体" w:hAnsi="宋体" w:eastAsia="宋体" w:cs="宋体"/>
                <w:sz w:val="24"/>
                <w:szCs w:val="24"/>
              </w:rPr>
              <w:t>其他术语解释</w:t>
            </w:r>
          </w:p>
        </w:tc>
        <w:tc>
          <w:tcPr>
            <w:tcW w:w="2769" w:type="dxa"/>
          </w:tcPr>
          <w:p w14:paraId="47D826DA">
            <w:pPr>
              <w:pStyle w:val="14"/>
              <w:spacing w:line="360" w:lineRule="auto"/>
              <w:rPr>
                <w:rFonts w:hint="default" w:ascii="宋体" w:hAnsi="宋体" w:eastAsia="宋体" w:cs="宋体"/>
                <w:sz w:val="24"/>
                <w:szCs w:val="24"/>
              </w:rPr>
            </w:pPr>
          </w:p>
        </w:tc>
      </w:tr>
      <w:tr w14:paraId="7CFF3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03D42E">
            <w:pPr>
              <w:pStyle w:val="14"/>
              <w:spacing w:line="360" w:lineRule="auto"/>
              <w:rPr>
                <w:rFonts w:hint="default" w:ascii="宋体" w:hAnsi="宋体" w:eastAsia="宋体" w:cs="宋体"/>
                <w:sz w:val="24"/>
                <w:szCs w:val="24"/>
              </w:rPr>
            </w:pPr>
            <w:r>
              <w:rPr>
                <w:rFonts w:ascii="宋体" w:hAnsi="宋体" w:eastAsia="宋体" w:cs="宋体"/>
                <w:sz w:val="24"/>
                <w:szCs w:val="24"/>
              </w:rPr>
              <w:t>第二节 第4.4款</w:t>
            </w:r>
          </w:p>
        </w:tc>
        <w:tc>
          <w:tcPr>
            <w:tcW w:w="2769" w:type="dxa"/>
          </w:tcPr>
          <w:p w14:paraId="3DD8D859">
            <w:pPr>
              <w:pStyle w:val="14"/>
              <w:spacing w:line="360" w:lineRule="auto"/>
              <w:rPr>
                <w:rFonts w:hint="default" w:ascii="宋体" w:hAnsi="宋体" w:eastAsia="宋体" w:cs="宋体"/>
                <w:sz w:val="24"/>
                <w:szCs w:val="24"/>
              </w:rPr>
            </w:pPr>
            <w:r>
              <w:rPr>
                <w:rFonts w:ascii="宋体" w:hAnsi="宋体" w:eastAsia="宋体" w:cs="宋体"/>
                <w:sz w:val="24"/>
                <w:szCs w:val="24"/>
              </w:rPr>
              <w:t>履约验收中甲方提出异议或作出说明的期限</w:t>
            </w:r>
          </w:p>
        </w:tc>
        <w:tc>
          <w:tcPr>
            <w:tcW w:w="2769" w:type="dxa"/>
          </w:tcPr>
          <w:p w14:paraId="44171908">
            <w:pPr>
              <w:pStyle w:val="14"/>
              <w:spacing w:line="360" w:lineRule="auto"/>
              <w:rPr>
                <w:rFonts w:hint="default" w:ascii="宋体" w:hAnsi="宋体" w:eastAsia="宋体" w:cs="宋体"/>
                <w:sz w:val="24"/>
                <w:szCs w:val="24"/>
              </w:rPr>
            </w:pPr>
          </w:p>
        </w:tc>
      </w:tr>
      <w:tr w14:paraId="5D9479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D5439C">
            <w:pPr>
              <w:pStyle w:val="14"/>
              <w:spacing w:line="360" w:lineRule="auto"/>
              <w:rPr>
                <w:rFonts w:hint="default" w:ascii="宋体" w:hAnsi="宋体" w:eastAsia="宋体" w:cs="宋体"/>
                <w:sz w:val="24"/>
                <w:szCs w:val="24"/>
              </w:rPr>
            </w:pPr>
            <w:r>
              <w:rPr>
                <w:rFonts w:ascii="宋体" w:hAnsi="宋体" w:eastAsia="宋体" w:cs="宋体"/>
                <w:sz w:val="24"/>
                <w:szCs w:val="24"/>
              </w:rPr>
              <w:t>第二节 第4.6款</w:t>
            </w:r>
          </w:p>
        </w:tc>
        <w:tc>
          <w:tcPr>
            <w:tcW w:w="2769" w:type="dxa"/>
          </w:tcPr>
          <w:p w14:paraId="64FEEF49">
            <w:pPr>
              <w:pStyle w:val="14"/>
              <w:spacing w:line="360" w:lineRule="auto"/>
              <w:rPr>
                <w:rFonts w:hint="default" w:ascii="宋体" w:hAnsi="宋体" w:eastAsia="宋体" w:cs="宋体"/>
                <w:sz w:val="24"/>
                <w:szCs w:val="24"/>
              </w:rPr>
            </w:pPr>
            <w:r>
              <w:rPr>
                <w:rFonts w:ascii="宋体" w:hAnsi="宋体" w:eastAsia="宋体" w:cs="宋体"/>
                <w:sz w:val="24"/>
                <w:szCs w:val="24"/>
              </w:rPr>
              <w:t>约定甲方承担的其他义务和责任</w:t>
            </w:r>
          </w:p>
        </w:tc>
        <w:tc>
          <w:tcPr>
            <w:tcW w:w="2769" w:type="dxa"/>
          </w:tcPr>
          <w:p w14:paraId="5B376B62">
            <w:pPr>
              <w:pStyle w:val="14"/>
              <w:spacing w:line="360" w:lineRule="auto"/>
              <w:rPr>
                <w:rFonts w:hint="default" w:ascii="宋体" w:hAnsi="宋体" w:eastAsia="宋体" w:cs="宋体"/>
                <w:sz w:val="24"/>
                <w:szCs w:val="24"/>
              </w:rPr>
            </w:pPr>
          </w:p>
        </w:tc>
      </w:tr>
      <w:tr w14:paraId="0388A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253DD40">
            <w:pPr>
              <w:pStyle w:val="14"/>
              <w:spacing w:line="360" w:lineRule="auto"/>
              <w:rPr>
                <w:rFonts w:hint="default" w:ascii="宋体" w:hAnsi="宋体" w:eastAsia="宋体" w:cs="宋体"/>
                <w:sz w:val="24"/>
                <w:szCs w:val="24"/>
              </w:rPr>
            </w:pPr>
            <w:r>
              <w:rPr>
                <w:rFonts w:ascii="宋体" w:hAnsi="宋体" w:eastAsia="宋体" w:cs="宋体"/>
                <w:sz w:val="24"/>
                <w:szCs w:val="24"/>
              </w:rPr>
              <w:t>第二节 第5.4款</w:t>
            </w:r>
          </w:p>
        </w:tc>
        <w:tc>
          <w:tcPr>
            <w:tcW w:w="2769" w:type="dxa"/>
          </w:tcPr>
          <w:p w14:paraId="2EEBA761">
            <w:pPr>
              <w:pStyle w:val="14"/>
              <w:spacing w:line="360" w:lineRule="auto"/>
              <w:rPr>
                <w:rFonts w:hint="default" w:ascii="宋体" w:hAnsi="宋体" w:eastAsia="宋体" w:cs="宋体"/>
                <w:sz w:val="24"/>
                <w:szCs w:val="24"/>
              </w:rPr>
            </w:pPr>
            <w:r>
              <w:rPr>
                <w:rFonts w:ascii="宋体" w:hAnsi="宋体" w:eastAsia="宋体" w:cs="宋体"/>
                <w:sz w:val="24"/>
                <w:szCs w:val="24"/>
              </w:rPr>
              <w:t>约定乙方承担的其他义务和责任</w:t>
            </w:r>
          </w:p>
        </w:tc>
        <w:tc>
          <w:tcPr>
            <w:tcW w:w="2769" w:type="dxa"/>
          </w:tcPr>
          <w:p w14:paraId="20E3ED8D">
            <w:pPr>
              <w:pStyle w:val="14"/>
              <w:spacing w:line="360" w:lineRule="auto"/>
              <w:rPr>
                <w:rFonts w:hint="default" w:ascii="宋体" w:hAnsi="宋体" w:eastAsia="宋体" w:cs="宋体"/>
                <w:sz w:val="24"/>
                <w:szCs w:val="24"/>
              </w:rPr>
            </w:pPr>
          </w:p>
        </w:tc>
      </w:tr>
      <w:tr w14:paraId="14CC48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FA8232">
            <w:pPr>
              <w:pStyle w:val="14"/>
              <w:spacing w:line="360" w:lineRule="auto"/>
              <w:rPr>
                <w:rFonts w:hint="default" w:ascii="宋体" w:hAnsi="宋体" w:eastAsia="宋体" w:cs="宋体"/>
                <w:sz w:val="24"/>
                <w:szCs w:val="24"/>
              </w:rPr>
            </w:pPr>
            <w:r>
              <w:rPr>
                <w:rFonts w:ascii="宋体" w:hAnsi="宋体" w:eastAsia="宋体" w:cs="宋体"/>
                <w:sz w:val="24"/>
                <w:szCs w:val="24"/>
              </w:rPr>
              <w:t>第二节 第6.1款</w:t>
            </w:r>
          </w:p>
        </w:tc>
        <w:tc>
          <w:tcPr>
            <w:tcW w:w="2769" w:type="dxa"/>
          </w:tcPr>
          <w:p w14:paraId="5D953F51">
            <w:pPr>
              <w:pStyle w:val="14"/>
              <w:spacing w:line="360" w:lineRule="auto"/>
              <w:rPr>
                <w:rFonts w:hint="default" w:ascii="宋体" w:hAnsi="宋体" w:eastAsia="宋体" w:cs="宋体"/>
                <w:sz w:val="24"/>
                <w:szCs w:val="24"/>
              </w:rPr>
            </w:pPr>
            <w:r>
              <w:rPr>
                <w:rFonts w:ascii="宋体" w:hAnsi="宋体" w:eastAsia="宋体" w:cs="宋体"/>
                <w:sz w:val="24"/>
                <w:szCs w:val="24"/>
              </w:rPr>
              <w:t>履行合同义务的顺序</w:t>
            </w:r>
          </w:p>
        </w:tc>
        <w:tc>
          <w:tcPr>
            <w:tcW w:w="2769" w:type="dxa"/>
          </w:tcPr>
          <w:p w14:paraId="6D462A72">
            <w:pPr>
              <w:pStyle w:val="14"/>
              <w:spacing w:line="360" w:lineRule="auto"/>
              <w:rPr>
                <w:rFonts w:hint="default" w:ascii="宋体" w:hAnsi="宋体" w:eastAsia="宋体" w:cs="宋体"/>
                <w:sz w:val="24"/>
                <w:szCs w:val="24"/>
              </w:rPr>
            </w:pPr>
          </w:p>
        </w:tc>
      </w:tr>
      <w:tr w14:paraId="6D33A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591F7DA8">
            <w:pPr>
              <w:pStyle w:val="14"/>
              <w:spacing w:line="360" w:lineRule="auto"/>
              <w:rPr>
                <w:rFonts w:hint="default" w:ascii="宋体" w:hAnsi="宋体" w:eastAsia="宋体" w:cs="宋体"/>
                <w:sz w:val="24"/>
                <w:szCs w:val="24"/>
              </w:rPr>
            </w:pPr>
            <w:r>
              <w:rPr>
                <w:rFonts w:ascii="宋体" w:hAnsi="宋体" w:eastAsia="宋体" w:cs="宋体"/>
                <w:sz w:val="24"/>
                <w:szCs w:val="24"/>
              </w:rPr>
              <w:t>第二节 第7.1款</w:t>
            </w:r>
          </w:p>
        </w:tc>
        <w:tc>
          <w:tcPr>
            <w:tcW w:w="2769" w:type="dxa"/>
          </w:tcPr>
          <w:p w14:paraId="62D827CA">
            <w:pPr>
              <w:pStyle w:val="14"/>
              <w:spacing w:line="360" w:lineRule="auto"/>
              <w:rPr>
                <w:rFonts w:hint="default" w:ascii="宋体" w:hAnsi="宋体" w:eastAsia="宋体" w:cs="宋体"/>
                <w:sz w:val="24"/>
                <w:szCs w:val="24"/>
              </w:rPr>
            </w:pPr>
            <w:r>
              <w:rPr>
                <w:rFonts w:ascii="宋体" w:hAnsi="宋体" w:eastAsia="宋体" w:cs="宋体"/>
                <w:sz w:val="24"/>
                <w:szCs w:val="24"/>
              </w:rPr>
              <w:t>包装特殊要求</w:t>
            </w:r>
          </w:p>
        </w:tc>
        <w:tc>
          <w:tcPr>
            <w:tcW w:w="2769" w:type="dxa"/>
          </w:tcPr>
          <w:p w14:paraId="425355CD">
            <w:pPr>
              <w:pStyle w:val="14"/>
              <w:spacing w:line="360" w:lineRule="auto"/>
              <w:rPr>
                <w:rFonts w:hint="default" w:ascii="宋体" w:hAnsi="宋体" w:eastAsia="宋体" w:cs="宋体"/>
                <w:sz w:val="24"/>
                <w:szCs w:val="24"/>
              </w:rPr>
            </w:pPr>
          </w:p>
        </w:tc>
      </w:tr>
      <w:tr w14:paraId="75D605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78AEF251"/>
        </w:tc>
        <w:tc>
          <w:tcPr>
            <w:tcW w:w="2769" w:type="dxa"/>
          </w:tcPr>
          <w:p w14:paraId="7FDD9164">
            <w:pPr>
              <w:pStyle w:val="14"/>
              <w:spacing w:line="360" w:lineRule="auto"/>
              <w:rPr>
                <w:rFonts w:hint="default" w:ascii="宋体" w:hAnsi="宋体" w:eastAsia="宋体" w:cs="宋体"/>
                <w:sz w:val="24"/>
                <w:szCs w:val="24"/>
              </w:rPr>
            </w:pPr>
            <w:r>
              <w:rPr>
                <w:rFonts w:ascii="宋体" w:hAnsi="宋体" w:eastAsia="宋体" w:cs="宋体"/>
                <w:sz w:val="24"/>
                <w:szCs w:val="24"/>
              </w:rPr>
              <w:t>指定现场</w:t>
            </w:r>
          </w:p>
        </w:tc>
        <w:tc>
          <w:tcPr>
            <w:tcW w:w="2769" w:type="dxa"/>
          </w:tcPr>
          <w:p w14:paraId="44C09D33">
            <w:pPr>
              <w:pStyle w:val="14"/>
              <w:spacing w:line="360" w:lineRule="auto"/>
              <w:rPr>
                <w:rFonts w:hint="default" w:ascii="宋体" w:hAnsi="宋体" w:eastAsia="宋体" w:cs="宋体"/>
                <w:sz w:val="24"/>
                <w:szCs w:val="24"/>
              </w:rPr>
            </w:pPr>
          </w:p>
        </w:tc>
      </w:tr>
      <w:tr w14:paraId="555EB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07FD0D1">
            <w:pPr>
              <w:pStyle w:val="14"/>
              <w:spacing w:line="360" w:lineRule="auto"/>
              <w:rPr>
                <w:rFonts w:hint="default" w:ascii="宋体" w:hAnsi="宋体" w:eastAsia="宋体" w:cs="宋体"/>
                <w:sz w:val="24"/>
                <w:szCs w:val="24"/>
              </w:rPr>
            </w:pPr>
            <w:r>
              <w:rPr>
                <w:rFonts w:ascii="宋体" w:hAnsi="宋体" w:eastAsia="宋体" w:cs="宋体"/>
                <w:sz w:val="24"/>
                <w:szCs w:val="24"/>
              </w:rPr>
              <w:t>第二节 第7.2款</w:t>
            </w:r>
          </w:p>
        </w:tc>
        <w:tc>
          <w:tcPr>
            <w:tcW w:w="2769" w:type="dxa"/>
          </w:tcPr>
          <w:p w14:paraId="4A38C03A">
            <w:pPr>
              <w:pStyle w:val="14"/>
              <w:spacing w:line="360" w:lineRule="auto"/>
              <w:rPr>
                <w:rFonts w:hint="default" w:ascii="宋体" w:hAnsi="宋体" w:eastAsia="宋体" w:cs="宋体"/>
                <w:sz w:val="24"/>
                <w:szCs w:val="24"/>
              </w:rPr>
            </w:pPr>
            <w:r>
              <w:rPr>
                <w:rFonts w:ascii="宋体" w:hAnsi="宋体" w:eastAsia="宋体" w:cs="宋体"/>
                <w:sz w:val="24"/>
                <w:szCs w:val="24"/>
              </w:rPr>
              <w:t>运输特殊要求</w:t>
            </w:r>
          </w:p>
        </w:tc>
        <w:tc>
          <w:tcPr>
            <w:tcW w:w="2769" w:type="dxa"/>
          </w:tcPr>
          <w:p w14:paraId="36513A9E">
            <w:pPr>
              <w:pStyle w:val="14"/>
              <w:spacing w:line="360" w:lineRule="auto"/>
              <w:rPr>
                <w:rFonts w:hint="default" w:ascii="宋体" w:hAnsi="宋体" w:eastAsia="宋体" w:cs="宋体"/>
                <w:sz w:val="24"/>
                <w:szCs w:val="24"/>
              </w:rPr>
            </w:pPr>
          </w:p>
        </w:tc>
      </w:tr>
      <w:tr w14:paraId="72FFE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E0646D">
            <w:pPr>
              <w:pStyle w:val="14"/>
              <w:spacing w:line="360" w:lineRule="auto"/>
              <w:rPr>
                <w:rFonts w:hint="default" w:ascii="宋体" w:hAnsi="宋体" w:eastAsia="宋体" w:cs="宋体"/>
                <w:sz w:val="24"/>
                <w:szCs w:val="24"/>
              </w:rPr>
            </w:pPr>
            <w:r>
              <w:rPr>
                <w:rFonts w:ascii="宋体" w:hAnsi="宋体" w:eastAsia="宋体" w:cs="宋体"/>
                <w:sz w:val="24"/>
                <w:szCs w:val="24"/>
              </w:rPr>
              <w:t>第二节 第7.3款</w:t>
            </w:r>
          </w:p>
        </w:tc>
        <w:tc>
          <w:tcPr>
            <w:tcW w:w="2769" w:type="dxa"/>
          </w:tcPr>
          <w:p w14:paraId="0F1BDCCD">
            <w:pPr>
              <w:pStyle w:val="14"/>
              <w:spacing w:line="360" w:lineRule="auto"/>
              <w:rPr>
                <w:rFonts w:hint="default" w:ascii="宋体" w:hAnsi="宋体" w:eastAsia="宋体" w:cs="宋体"/>
                <w:sz w:val="24"/>
                <w:szCs w:val="24"/>
              </w:rPr>
            </w:pPr>
            <w:r>
              <w:rPr>
                <w:rFonts w:ascii="宋体" w:hAnsi="宋体" w:eastAsia="宋体" w:cs="宋体"/>
                <w:sz w:val="24"/>
                <w:szCs w:val="24"/>
              </w:rPr>
              <w:t>保险要求</w:t>
            </w:r>
          </w:p>
        </w:tc>
        <w:tc>
          <w:tcPr>
            <w:tcW w:w="2769" w:type="dxa"/>
          </w:tcPr>
          <w:p w14:paraId="09FE6EAE">
            <w:pPr>
              <w:pStyle w:val="14"/>
              <w:spacing w:line="360" w:lineRule="auto"/>
              <w:rPr>
                <w:rFonts w:hint="default" w:ascii="宋体" w:hAnsi="宋体" w:eastAsia="宋体" w:cs="宋体"/>
                <w:sz w:val="24"/>
                <w:szCs w:val="24"/>
              </w:rPr>
            </w:pPr>
          </w:p>
        </w:tc>
      </w:tr>
      <w:tr w14:paraId="5FA9E8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030BB9E">
            <w:pPr>
              <w:pStyle w:val="14"/>
              <w:spacing w:line="360" w:lineRule="auto"/>
              <w:rPr>
                <w:rFonts w:hint="default" w:ascii="宋体" w:hAnsi="宋体" w:eastAsia="宋体" w:cs="宋体"/>
                <w:sz w:val="24"/>
                <w:szCs w:val="24"/>
              </w:rPr>
            </w:pPr>
            <w:r>
              <w:rPr>
                <w:rFonts w:ascii="宋体" w:hAnsi="宋体" w:eastAsia="宋体" w:cs="宋体"/>
                <w:sz w:val="24"/>
                <w:szCs w:val="24"/>
              </w:rPr>
              <w:t>第二节 第8.2（1）项</w:t>
            </w:r>
          </w:p>
        </w:tc>
        <w:tc>
          <w:tcPr>
            <w:tcW w:w="2769" w:type="dxa"/>
          </w:tcPr>
          <w:p w14:paraId="144141A2">
            <w:pPr>
              <w:pStyle w:val="14"/>
              <w:spacing w:line="360" w:lineRule="auto"/>
              <w:rPr>
                <w:rFonts w:hint="default" w:ascii="宋体" w:hAnsi="宋体" w:eastAsia="宋体" w:cs="宋体"/>
                <w:sz w:val="24"/>
                <w:szCs w:val="24"/>
              </w:rPr>
            </w:pPr>
            <w:r>
              <w:rPr>
                <w:rFonts w:ascii="宋体" w:hAnsi="宋体" w:eastAsia="宋体" w:cs="宋体"/>
                <w:sz w:val="24"/>
                <w:szCs w:val="24"/>
              </w:rPr>
              <w:t>质量保证期</w:t>
            </w:r>
          </w:p>
        </w:tc>
        <w:tc>
          <w:tcPr>
            <w:tcW w:w="2769" w:type="dxa"/>
          </w:tcPr>
          <w:p w14:paraId="5E260728"/>
        </w:tc>
      </w:tr>
      <w:tr w14:paraId="75A1C2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5AAFCA">
            <w:pPr>
              <w:pStyle w:val="14"/>
              <w:spacing w:line="360" w:lineRule="auto"/>
              <w:rPr>
                <w:rFonts w:hint="default" w:ascii="宋体" w:hAnsi="宋体" w:eastAsia="宋体" w:cs="宋体"/>
                <w:sz w:val="24"/>
                <w:szCs w:val="24"/>
              </w:rPr>
            </w:pPr>
            <w:r>
              <w:rPr>
                <w:rFonts w:ascii="宋体" w:hAnsi="宋体" w:eastAsia="宋体" w:cs="宋体"/>
                <w:sz w:val="24"/>
                <w:szCs w:val="24"/>
              </w:rPr>
              <w:t>第二节 第8.2（3）项</w:t>
            </w:r>
          </w:p>
        </w:tc>
        <w:tc>
          <w:tcPr>
            <w:tcW w:w="2769" w:type="dxa"/>
          </w:tcPr>
          <w:p w14:paraId="322FD446">
            <w:pPr>
              <w:pStyle w:val="14"/>
              <w:spacing w:line="360" w:lineRule="auto"/>
              <w:rPr>
                <w:rFonts w:hint="default" w:ascii="宋体" w:hAnsi="宋体" w:eastAsia="宋体" w:cs="宋体"/>
                <w:sz w:val="24"/>
                <w:szCs w:val="24"/>
              </w:rPr>
            </w:pPr>
            <w:r>
              <w:rPr>
                <w:rFonts w:ascii="宋体" w:hAnsi="宋体" w:eastAsia="宋体" w:cs="宋体"/>
                <w:sz w:val="24"/>
                <w:szCs w:val="24"/>
              </w:rPr>
              <w:t>货物质量缺陷响应时间</w:t>
            </w:r>
          </w:p>
        </w:tc>
        <w:tc>
          <w:tcPr>
            <w:tcW w:w="2769" w:type="dxa"/>
          </w:tcPr>
          <w:p w14:paraId="0931586F"/>
        </w:tc>
      </w:tr>
      <w:tr w14:paraId="7009C9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995BF0">
            <w:pPr>
              <w:pStyle w:val="14"/>
              <w:spacing w:line="360" w:lineRule="auto"/>
              <w:rPr>
                <w:rFonts w:hint="default" w:ascii="宋体" w:hAnsi="宋体" w:eastAsia="宋体" w:cs="宋体"/>
                <w:sz w:val="24"/>
                <w:szCs w:val="24"/>
              </w:rPr>
            </w:pPr>
            <w:r>
              <w:rPr>
                <w:rFonts w:ascii="宋体" w:hAnsi="宋体" w:eastAsia="宋体" w:cs="宋体"/>
                <w:sz w:val="24"/>
                <w:szCs w:val="24"/>
              </w:rPr>
              <w:t>第二节 第11.1款</w:t>
            </w:r>
          </w:p>
        </w:tc>
        <w:tc>
          <w:tcPr>
            <w:tcW w:w="2769" w:type="dxa"/>
          </w:tcPr>
          <w:p w14:paraId="72442BA5">
            <w:pPr>
              <w:pStyle w:val="14"/>
              <w:spacing w:line="360" w:lineRule="auto"/>
              <w:rPr>
                <w:rFonts w:hint="default" w:ascii="宋体" w:hAnsi="宋体" w:eastAsia="宋体" w:cs="宋体"/>
                <w:sz w:val="24"/>
                <w:szCs w:val="24"/>
              </w:rPr>
            </w:pPr>
            <w:r>
              <w:rPr>
                <w:rFonts w:ascii="宋体" w:hAnsi="宋体" w:eastAsia="宋体" w:cs="宋体"/>
                <w:sz w:val="24"/>
                <w:szCs w:val="24"/>
              </w:rPr>
              <w:t>其他应当保密的信息</w:t>
            </w:r>
          </w:p>
        </w:tc>
        <w:tc>
          <w:tcPr>
            <w:tcW w:w="2769" w:type="dxa"/>
          </w:tcPr>
          <w:p w14:paraId="3889EC7B"/>
        </w:tc>
      </w:tr>
      <w:tr w14:paraId="35D3B5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B03467D">
            <w:pPr>
              <w:pStyle w:val="14"/>
              <w:spacing w:line="360" w:lineRule="auto"/>
              <w:rPr>
                <w:rFonts w:hint="default" w:ascii="宋体" w:hAnsi="宋体" w:eastAsia="宋体" w:cs="宋体"/>
                <w:sz w:val="24"/>
                <w:szCs w:val="24"/>
              </w:rPr>
            </w:pPr>
            <w:r>
              <w:rPr>
                <w:rFonts w:ascii="宋体" w:hAnsi="宋体" w:eastAsia="宋体" w:cs="宋体"/>
                <w:sz w:val="24"/>
                <w:szCs w:val="24"/>
              </w:rPr>
              <w:t>第二节 第12.2款</w:t>
            </w:r>
          </w:p>
        </w:tc>
        <w:tc>
          <w:tcPr>
            <w:tcW w:w="2769" w:type="dxa"/>
          </w:tcPr>
          <w:p w14:paraId="38387D00">
            <w:pPr>
              <w:pStyle w:val="14"/>
              <w:spacing w:line="360" w:lineRule="auto"/>
              <w:rPr>
                <w:rFonts w:hint="default" w:ascii="宋体" w:hAnsi="宋体" w:eastAsia="宋体" w:cs="宋体"/>
                <w:sz w:val="24"/>
                <w:szCs w:val="24"/>
              </w:rPr>
            </w:pPr>
            <w:r>
              <w:rPr>
                <w:rFonts w:ascii="宋体" w:hAnsi="宋体" w:eastAsia="宋体" w:cs="宋体"/>
                <w:sz w:val="24"/>
                <w:szCs w:val="24"/>
              </w:rPr>
              <w:t>合同价款支付时间</w:t>
            </w:r>
          </w:p>
        </w:tc>
        <w:tc>
          <w:tcPr>
            <w:tcW w:w="2769" w:type="dxa"/>
          </w:tcPr>
          <w:p w14:paraId="71CAFE94"/>
        </w:tc>
      </w:tr>
      <w:tr w14:paraId="2C816D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A5EBC5">
            <w:pPr>
              <w:pStyle w:val="14"/>
              <w:spacing w:line="360" w:lineRule="auto"/>
              <w:rPr>
                <w:rFonts w:hint="default" w:ascii="宋体" w:hAnsi="宋体" w:eastAsia="宋体" w:cs="宋体"/>
                <w:sz w:val="24"/>
                <w:szCs w:val="24"/>
              </w:rPr>
            </w:pPr>
            <w:r>
              <w:rPr>
                <w:rFonts w:ascii="宋体" w:hAnsi="宋体" w:eastAsia="宋体" w:cs="宋体"/>
                <w:sz w:val="24"/>
                <w:szCs w:val="24"/>
              </w:rPr>
              <w:t>第二节 第13.2款</w:t>
            </w:r>
          </w:p>
        </w:tc>
        <w:tc>
          <w:tcPr>
            <w:tcW w:w="2769" w:type="dxa"/>
          </w:tcPr>
          <w:p w14:paraId="54F85A4B">
            <w:pPr>
              <w:pStyle w:val="14"/>
              <w:spacing w:line="360" w:lineRule="auto"/>
              <w:rPr>
                <w:rFonts w:hint="default" w:ascii="宋体" w:hAnsi="宋体" w:eastAsia="宋体" w:cs="宋体"/>
                <w:sz w:val="24"/>
                <w:szCs w:val="24"/>
              </w:rPr>
            </w:pPr>
            <w:r>
              <w:rPr>
                <w:rFonts w:ascii="宋体" w:hAnsi="宋体" w:eastAsia="宋体" w:cs="宋体"/>
                <w:sz w:val="24"/>
                <w:szCs w:val="24"/>
              </w:rPr>
              <w:t>履约保证金不予退还的情形</w:t>
            </w:r>
          </w:p>
        </w:tc>
        <w:tc>
          <w:tcPr>
            <w:tcW w:w="2769" w:type="dxa"/>
          </w:tcPr>
          <w:p w14:paraId="77A8FC79"/>
        </w:tc>
      </w:tr>
      <w:tr w14:paraId="40594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AAA7185">
            <w:pPr>
              <w:pStyle w:val="14"/>
              <w:spacing w:line="360" w:lineRule="auto"/>
              <w:rPr>
                <w:rFonts w:hint="default" w:ascii="宋体" w:hAnsi="宋体" w:eastAsia="宋体" w:cs="宋体"/>
                <w:sz w:val="24"/>
                <w:szCs w:val="24"/>
              </w:rPr>
            </w:pPr>
            <w:r>
              <w:rPr>
                <w:rFonts w:ascii="宋体" w:hAnsi="宋体" w:eastAsia="宋体" w:cs="宋体"/>
                <w:sz w:val="24"/>
                <w:szCs w:val="24"/>
              </w:rPr>
              <w:t>第二节 第13.3款</w:t>
            </w:r>
          </w:p>
        </w:tc>
        <w:tc>
          <w:tcPr>
            <w:tcW w:w="2769" w:type="dxa"/>
          </w:tcPr>
          <w:p w14:paraId="7C7012A0">
            <w:pPr>
              <w:pStyle w:val="14"/>
              <w:spacing w:line="360" w:lineRule="auto"/>
              <w:rPr>
                <w:rFonts w:hint="default" w:ascii="宋体" w:hAnsi="宋体" w:eastAsia="宋体" w:cs="宋体"/>
                <w:sz w:val="24"/>
                <w:szCs w:val="24"/>
              </w:rPr>
            </w:pPr>
            <w:r>
              <w:rPr>
                <w:rFonts w:ascii="宋体" w:hAnsi="宋体" w:eastAsia="宋体" w:cs="宋体"/>
                <w:sz w:val="24"/>
                <w:szCs w:val="24"/>
              </w:rPr>
              <w:t>履约保证金退还时间及逾期退还的违约金</w:t>
            </w:r>
          </w:p>
        </w:tc>
        <w:tc>
          <w:tcPr>
            <w:tcW w:w="2769" w:type="dxa"/>
          </w:tcPr>
          <w:p w14:paraId="3F46D7A0"/>
        </w:tc>
      </w:tr>
      <w:tr w14:paraId="266B4A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40414F8">
            <w:pPr>
              <w:pStyle w:val="14"/>
              <w:spacing w:line="360" w:lineRule="auto"/>
              <w:rPr>
                <w:rFonts w:hint="default" w:ascii="宋体" w:hAnsi="宋体" w:eastAsia="宋体" w:cs="宋体"/>
                <w:sz w:val="24"/>
                <w:szCs w:val="24"/>
              </w:rPr>
            </w:pPr>
            <w:r>
              <w:rPr>
                <w:rFonts w:ascii="宋体" w:hAnsi="宋体" w:eastAsia="宋体" w:cs="宋体"/>
                <w:sz w:val="24"/>
                <w:szCs w:val="24"/>
              </w:rPr>
              <w:t>第二节 第14.1（3）项</w:t>
            </w:r>
          </w:p>
        </w:tc>
        <w:tc>
          <w:tcPr>
            <w:tcW w:w="2769" w:type="dxa"/>
          </w:tcPr>
          <w:p w14:paraId="29E320BC">
            <w:pPr>
              <w:pStyle w:val="14"/>
              <w:spacing w:line="360" w:lineRule="auto"/>
              <w:rPr>
                <w:rFonts w:hint="default" w:ascii="宋体" w:hAnsi="宋体" w:eastAsia="宋体" w:cs="宋体"/>
                <w:sz w:val="24"/>
                <w:szCs w:val="24"/>
              </w:rPr>
            </w:pPr>
            <w:r>
              <w:rPr>
                <w:rFonts w:ascii="宋体" w:hAnsi="宋体" w:eastAsia="宋体" w:cs="宋体"/>
                <w:sz w:val="24"/>
                <w:szCs w:val="24"/>
              </w:rPr>
              <w:t>运行监督、维修期限</w:t>
            </w:r>
          </w:p>
        </w:tc>
        <w:tc>
          <w:tcPr>
            <w:tcW w:w="2769" w:type="dxa"/>
          </w:tcPr>
          <w:p w14:paraId="5CF0939C"/>
        </w:tc>
      </w:tr>
      <w:tr w14:paraId="58971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6DD03FA">
            <w:pPr>
              <w:pStyle w:val="14"/>
              <w:spacing w:line="360" w:lineRule="auto"/>
              <w:rPr>
                <w:rFonts w:hint="default" w:ascii="宋体" w:hAnsi="宋体" w:eastAsia="宋体" w:cs="宋体"/>
                <w:sz w:val="24"/>
                <w:szCs w:val="24"/>
              </w:rPr>
            </w:pPr>
            <w:r>
              <w:rPr>
                <w:rFonts w:ascii="宋体" w:hAnsi="宋体" w:eastAsia="宋体" w:cs="宋体"/>
                <w:sz w:val="24"/>
                <w:szCs w:val="24"/>
              </w:rPr>
              <w:t>第二节 第14.1（5）项</w:t>
            </w:r>
          </w:p>
        </w:tc>
        <w:tc>
          <w:tcPr>
            <w:tcW w:w="2769" w:type="dxa"/>
          </w:tcPr>
          <w:p w14:paraId="4A1362AA">
            <w:pPr>
              <w:pStyle w:val="14"/>
              <w:spacing w:line="360" w:lineRule="auto"/>
              <w:rPr>
                <w:rFonts w:hint="default" w:ascii="宋体" w:hAnsi="宋体" w:eastAsia="宋体" w:cs="宋体"/>
                <w:sz w:val="24"/>
                <w:szCs w:val="24"/>
              </w:rPr>
            </w:pPr>
            <w:r>
              <w:rPr>
                <w:rFonts w:ascii="宋体" w:hAnsi="宋体" w:eastAsia="宋体" w:cs="宋体"/>
                <w:sz w:val="24"/>
                <w:szCs w:val="24"/>
              </w:rPr>
              <w:t>货物回收的约定</w:t>
            </w:r>
          </w:p>
        </w:tc>
        <w:tc>
          <w:tcPr>
            <w:tcW w:w="2769" w:type="dxa"/>
          </w:tcPr>
          <w:p w14:paraId="14575AB7"/>
        </w:tc>
      </w:tr>
      <w:tr w14:paraId="56C5E5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A01C34A">
            <w:pPr>
              <w:pStyle w:val="14"/>
              <w:spacing w:line="360" w:lineRule="auto"/>
              <w:rPr>
                <w:rFonts w:hint="default" w:ascii="宋体" w:hAnsi="宋体" w:eastAsia="宋体" w:cs="宋体"/>
                <w:sz w:val="24"/>
                <w:szCs w:val="24"/>
              </w:rPr>
            </w:pPr>
            <w:r>
              <w:rPr>
                <w:rFonts w:ascii="宋体" w:hAnsi="宋体" w:eastAsia="宋体" w:cs="宋体"/>
                <w:sz w:val="24"/>
                <w:szCs w:val="24"/>
              </w:rPr>
              <w:t>第二节 第14.1（6）项</w:t>
            </w:r>
          </w:p>
        </w:tc>
        <w:tc>
          <w:tcPr>
            <w:tcW w:w="2769" w:type="dxa"/>
          </w:tcPr>
          <w:p w14:paraId="48B61D2B">
            <w:pPr>
              <w:pStyle w:val="14"/>
              <w:spacing w:line="360" w:lineRule="auto"/>
              <w:rPr>
                <w:rFonts w:hint="default" w:ascii="宋体" w:hAnsi="宋体" w:eastAsia="宋体" w:cs="宋体"/>
                <w:sz w:val="24"/>
                <w:szCs w:val="24"/>
              </w:rPr>
            </w:pPr>
            <w:r>
              <w:rPr>
                <w:rFonts w:ascii="宋体" w:hAnsi="宋体" w:eastAsia="宋体" w:cs="宋体"/>
                <w:sz w:val="24"/>
                <w:szCs w:val="24"/>
              </w:rPr>
              <w:t>乙方提供的其他服务</w:t>
            </w:r>
          </w:p>
        </w:tc>
        <w:tc>
          <w:tcPr>
            <w:tcW w:w="2769" w:type="dxa"/>
          </w:tcPr>
          <w:p w14:paraId="7CF3F9E9"/>
        </w:tc>
      </w:tr>
      <w:tr w14:paraId="32105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D90722">
            <w:pPr>
              <w:pStyle w:val="14"/>
              <w:spacing w:line="360" w:lineRule="auto"/>
              <w:rPr>
                <w:rFonts w:hint="default" w:ascii="宋体" w:hAnsi="宋体" w:eastAsia="宋体" w:cs="宋体"/>
                <w:sz w:val="24"/>
                <w:szCs w:val="24"/>
              </w:rPr>
            </w:pPr>
            <w:r>
              <w:rPr>
                <w:rFonts w:ascii="宋体" w:hAnsi="宋体" w:eastAsia="宋体" w:cs="宋体"/>
                <w:sz w:val="24"/>
                <w:szCs w:val="24"/>
              </w:rPr>
              <w:t>第二节 第15.1款</w:t>
            </w:r>
          </w:p>
        </w:tc>
        <w:tc>
          <w:tcPr>
            <w:tcW w:w="2769" w:type="dxa"/>
          </w:tcPr>
          <w:p w14:paraId="3A9A4AFE">
            <w:pPr>
              <w:pStyle w:val="14"/>
              <w:spacing w:line="360" w:lineRule="auto"/>
              <w:rPr>
                <w:rFonts w:hint="default" w:ascii="宋体" w:hAnsi="宋体" w:eastAsia="宋体" w:cs="宋体"/>
                <w:sz w:val="24"/>
                <w:szCs w:val="24"/>
              </w:rPr>
            </w:pPr>
            <w:r>
              <w:rPr>
                <w:rFonts w:ascii="宋体" w:hAnsi="宋体" w:eastAsia="宋体" w:cs="宋体"/>
                <w:sz w:val="24"/>
                <w:szCs w:val="24"/>
              </w:rPr>
              <w:t>修理、重作、更换相关具体规定</w:t>
            </w:r>
          </w:p>
        </w:tc>
        <w:tc>
          <w:tcPr>
            <w:tcW w:w="2769" w:type="dxa"/>
          </w:tcPr>
          <w:p w14:paraId="5F714BCC"/>
        </w:tc>
      </w:tr>
      <w:tr w14:paraId="72C30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97DAAE">
            <w:pPr>
              <w:pStyle w:val="14"/>
              <w:spacing w:line="360" w:lineRule="auto"/>
              <w:rPr>
                <w:rFonts w:hint="default" w:ascii="宋体" w:hAnsi="宋体" w:eastAsia="宋体" w:cs="宋体"/>
                <w:sz w:val="24"/>
                <w:szCs w:val="24"/>
              </w:rPr>
            </w:pPr>
            <w:r>
              <w:rPr>
                <w:rFonts w:ascii="宋体" w:hAnsi="宋体" w:eastAsia="宋体" w:cs="宋体"/>
                <w:sz w:val="24"/>
                <w:szCs w:val="24"/>
              </w:rPr>
              <w:t>第二节 第15.2（2）项</w:t>
            </w:r>
          </w:p>
        </w:tc>
        <w:tc>
          <w:tcPr>
            <w:tcW w:w="2769" w:type="dxa"/>
          </w:tcPr>
          <w:p w14:paraId="438E34C4">
            <w:pPr>
              <w:pStyle w:val="14"/>
              <w:spacing w:line="360" w:lineRule="auto"/>
              <w:rPr>
                <w:rFonts w:hint="default" w:ascii="宋体" w:hAnsi="宋体" w:eastAsia="宋体" w:cs="宋体"/>
                <w:sz w:val="24"/>
                <w:szCs w:val="24"/>
              </w:rPr>
            </w:pPr>
            <w:r>
              <w:rPr>
                <w:rFonts w:ascii="宋体" w:hAnsi="宋体" w:eastAsia="宋体" w:cs="宋体"/>
                <w:sz w:val="24"/>
                <w:szCs w:val="24"/>
              </w:rPr>
              <w:t>迟延交货赔偿费</w:t>
            </w:r>
          </w:p>
        </w:tc>
        <w:tc>
          <w:tcPr>
            <w:tcW w:w="2769" w:type="dxa"/>
          </w:tcPr>
          <w:p w14:paraId="3541A2F0"/>
        </w:tc>
      </w:tr>
      <w:tr w14:paraId="406DDF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890B332">
            <w:pPr>
              <w:pStyle w:val="14"/>
              <w:spacing w:line="360" w:lineRule="auto"/>
              <w:rPr>
                <w:rFonts w:hint="default" w:ascii="宋体" w:hAnsi="宋体" w:eastAsia="宋体" w:cs="宋体"/>
                <w:sz w:val="24"/>
                <w:szCs w:val="24"/>
              </w:rPr>
            </w:pPr>
            <w:r>
              <w:rPr>
                <w:rFonts w:ascii="宋体" w:hAnsi="宋体" w:eastAsia="宋体" w:cs="宋体"/>
                <w:sz w:val="24"/>
                <w:szCs w:val="24"/>
              </w:rPr>
              <w:t>第二节 第15.3款</w:t>
            </w:r>
          </w:p>
        </w:tc>
        <w:tc>
          <w:tcPr>
            <w:tcW w:w="2769" w:type="dxa"/>
          </w:tcPr>
          <w:p w14:paraId="17D591CE">
            <w:pPr>
              <w:pStyle w:val="14"/>
              <w:spacing w:line="360" w:lineRule="auto"/>
              <w:rPr>
                <w:rFonts w:hint="default" w:ascii="宋体" w:hAnsi="宋体" w:eastAsia="宋体" w:cs="宋体"/>
                <w:sz w:val="24"/>
                <w:szCs w:val="24"/>
              </w:rPr>
            </w:pPr>
            <w:r>
              <w:rPr>
                <w:rFonts w:ascii="宋体" w:hAnsi="宋体" w:eastAsia="宋体" w:cs="宋体"/>
                <w:sz w:val="24"/>
                <w:szCs w:val="24"/>
              </w:rPr>
              <w:t>逾期付款利息</w:t>
            </w:r>
          </w:p>
        </w:tc>
        <w:tc>
          <w:tcPr>
            <w:tcW w:w="2769" w:type="dxa"/>
          </w:tcPr>
          <w:p w14:paraId="3201FB0F"/>
        </w:tc>
      </w:tr>
      <w:tr w14:paraId="527AB0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2327318">
            <w:pPr>
              <w:pStyle w:val="14"/>
              <w:spacing w:line="360" w:lineRule="auto"/>
              <w:rPr>
                <w:rFonts w:hint="default" w:ascii="宋体" w:hAnsi="宋体" w:eastAsia="宋体" w:cs="宋体"/>
                <w:sz w:val="24"/>
                <w:szCs w:val="24"/>
              </w:rPr>
            </w:pPr>
            <w:r>
              <w:rPr>
                <w:rFonts w:ascii="宋体" w:hAnsi="宋体" w:eastAsia="宋体" w:cs="宋体"/>
                <w:sz w:val="24"/>
                <w:szCs w:val="24"/>
              </w:rPr>
              <w:t>第二节 第15.4款</w:t>
            </w:r>
          </w:p>
        </w:tc>
        <w:tc>
          <w:tcPr>
            <w:tcW w:w="2769" w:type="dxa"/>
          </w:tcPr>
          <w:p w14:paraId="2D74CC05">
            <w:pPr>
              <w:pStyle w:val="14"/>
              <w:spacing w:line="360" w:lineRule="auto"/>
              <w:rPr>
                <w:rFonts w:hint="default" w:ascii="宋体" w:hAnsi="宋体" w:eastAsia="宋体" w:cs="宋体"/>
                <w:sz w:val="24"/>
                <w:szCs w:val="24"/>
              </w:rPr>
            </w:pPr>
            <w:r>
              <w:rPr>
                <w:rFonts w:ascii="宋体" w:hAnsi="宋体" w:eastAsia="宋体" w:cs="宋体"/>
                <w:sz w:val="24"/>
                <w:szCs w:val="24"/>
              </w:rPr>
              <w:t>其他违约责任</w:t>
            </w:r>
          </w:p>
        </w:tc>
        <w:tc>
          <w:tcPr>
            <w:tcW w:w="2769" w:type="dxa"/>
          </w:tcPr>
          <w:p w14:paraId="082BD72E"/>
        </w:tc>
      </w:tr>
      <w:tr w14:paraId="6BC5C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8436BAF">
            <w:pPr>
              <w:pStyle w:val="14"/>
              <w:spacing w:line="360" w:lineRule="auto"/>
              <w:rPr>
                <w:rFonts w:hint="default" w:ascii="宋体" w:hAnsi="宋体" w:eastAsia="宋体" w:cs="宋体"/>
                <w:sz w:val="24"/>
                <w:szCs w:val="24"/>
              </w:rPr>
            </w:pPr>
            <w:r>
              <w:rPr>
                <w:rFonts w:ascii="宋体" w:hAnsi="宋体" w:eastAsia="宋体" w:cs="宋体"/>
                <w:sz w:val="24"/>
                <w:szCs w:val="24"/>
              </w:rPr>
              <w:t>第二节 第19.2款</w:t>
            </w:r>
          </w:p>
        </w:tc>
        <w:tc>
          <w:tcPr>
            <w:tcW w:w="2769" w:type="dxa"/>
          </w:tcPr>
          <w:p w14:paraId="2629BA12">
            <w:pPr>
              <w:pStyle w:val="14"/>
              <w:spacing w:line="360" w:lineRule="auto"/>
              <w:rPr>
                <w:rFonts w:hint="default" w:ascii="宋体" w:hAnsi="宋体" w:eastAsia="宋体" w:cs="宋体"/>
                <w:sz w:val="24"/>
                <w:szCs w:val="24"/>
              </w:rPr>
            </w:pPr>
            <w:r>
              <w:rPr>
                <w:rFonts w:ascii="宋体" w:hAnsi="宋体" w:eastAsia="宋体" w:cs="宋体"/>
                <w:sz w:val="24"/>
                <w:szCs w:val="24"/>
              </w:rPr>
              <w:t>解决争议的方法</w:t>
            </w:r>
          </w:p>
        </w:tc>
        <w:tc>
          <w:tcPr>
            <w:tcW w:w="2769" w:type="dxa"/>
          </w:tcPr>
          <w:p w14:paraId="6114FF2B">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因本合同及合同有关事项发生的争议，按下列第____ 种方式解决：</w:t>
            </w:r>
          </w:p>
          <w:p w14:paraId="70769467">
            <w:pPr>
              <w:pStyle w:val="14"/>
              <w:spacing w:line="360" w:lineRule="auto"/>
              <w:rPr>
                <w:rFonts w:hint="default" w:ascii="宋体" w:hAnsi="宋体" w:eastAsia="宋体" w:cs="宋体"/>
                <w:sz w:val="24"/>
                <w:szCs w:val="24"/>
              </w:rPr>
            </w:pPr>
            <w:r>
              <w:rPr>
                <w:rFonts w:ascii="宋体" w:hAnsi="宋体" w:eastAsia="宋体" w:cs="宋体"/>
                <w:sz w:val="24"/>
                <w:szCs w:val="24"/>
              </w:rPr>
              <w:t>（1）向 _____仲裁委员会申请仲裁，仲裁地点为 _______ ；</w:t>
            </w:r>
          </w:p>
          <w:p w14:paraId="23AA405C">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（2）向______人民法院起诉。</w:t>
            </w:r>
          </w:p>
        </w:tc>
      </w:tr>
      <w:tr w14:paraId="3F34E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AAC241C">
            <w:pPr>
              <w:pStyle w:val="14"/>
              <w:spacing w:line="360" w:lineRule="auto"/>
              <w:rPr>
                <w:rFonts w:hint="default" w:ascii="宋体" w:hAnsi="宋体" w:eastAsia="宋体" w:cs="宋体"/>
                <w:sz w:val="24"/>
                <w:szCs w:val="24"/>
              </w:rPr>
            </w:pPr>
            <w:r>
              <w:rPr>
                <w:rFonts w:ascii="宋体" w:hAnsi="宋体" w:eastAsia="宋体" w:cs="宋体"/>
                <w:sz w:val="24"/>
                <w:szCs w:val="24"/>
              </w:rPr>
              <w:t>第二节 第23.1款</w:t>
            </w:r>
          </w:p>
        </w:tc>
        <w:tc>
          <w:tcPr>
            <w:tcW w:w="2769" w:type="dxa"/>
          </w:tcPr>
          <w:p w14:paraId="5C980CFA">
            <w:pPr>
              <w:pStyle w:val="14"/>
              <w:spacing w:line="360" w:lineRule="auto"/>
              <w:rPr>
                <w:rFonts w:hint="default" w:ascii="宋体" w:hAnsi="宋体" w:eastAsia="宋体" w:cs="宋体"/>
                <w:sz w:val="24"/>
                <w:szCs w:val="24"/>
              </w:rPr>
            </w:pPr>
            <w:r>
              <w:rPr>
                <w:rFonts w:ascii="宋体" w:hAnsi="宋体" w:eastAsia="宋体" w:cs="宋体"/>
                <w:sz w:val="24"/>
                <w:szCs w:val="24"/>
              </w:rPr>
              <w:t>其他专用条款</w:t>
            </w:r>
          </w:p>
        </w:tc>
        <w:tc>
          <w:tcPr>
            <w:tcW w:w="2769" w:type="dxa"/>
          </w:tcPr>
          <w:p w14:paraId="5F1813D8"/>
        </w:tc>
      </w:tr>
    </w:tbl>
    <w:p w14:paraId="2C87B07E">
      <w:pPr>
        <w:pStyle w:val="14"/>
        <w:spacing w:line="360" w:lineRule="auto"/>
        <w:rPr>
          <w:rFonts w:hint="default" w:ascii="宋体" w:hAnsi="宋体" w:eastAsia="宋体" w:cs="宋体"/>
          <w:sz w:val="24"/>
          <w:szCs w:val="24"/>
        </w:rPr>
      </w:pPr>
      <w:r>
        <w:rPr>
          <w:rFonts w:ascii="宋体" w:hAnsi="宋体" w:eastAsia="宋体" w:cs="宋体"/>
          <w:sz w:val="24"/>
          <w:szCs w:val="24"/>
        </w:rPr>
        <w:t xml:space="preserve"> </w:t>
      </w:r>
      <w:r>
        <w:rPr>
          <w:rFonts w:ascii="宋体" w:hAnsi="宋体" w:eastAsia="宋体" w:cs="宋体"/>
          <w:sz w:val="24"/>
          <w:szCs w:val="24"/>
        </w:rPr>
        <w:br w:type="textWrapping"/>
      </w:r>
      <w:r>
        <w:rPr>
          <w:rFonts w:ascii="宋体" w:hAnsi="宋体" w:eastAsia="宋体" w:cs="宋体"/>
          <w:sz w:val="24"/>
          <w:szCs w:val="24"/>
        </w:rPr>
        <w:br w:type="page"/>
      </w:r>
    </w:p>
    <w:p w14:paraId="55B8C5A3">
      <w:pPr>
        <w:pStyle w:val="14"/>
        <w:spacing w:line="360" w:lineRule="auto"/>
        <w:jc w:val="center"/>
        <w:outlineLvl w:val="1"/>
        <w:rPr>
          <w:rFonts w:hint="default" w:ascii="宋体" w:hAnsi="宋体" w:eastAsia="宋体" w:cs="宋体"/>
          <w:sz w:val="32"/>
          <w:szCs w:val="32"/>
        </w:rPr>
      </w:pPr>
      <w:r>
        <w:rPr>
          <w:rFonts w:ascii="宋体" w:hAnsi="宋体" w:eastAsia="宋体" w:cs="宋体"/>
          <w:b/>
          <w:sz w:val="32"/>
          <w:szCs w:val="32"/>
        </w:rPr>
        <w:t>第七章 电子投标文件格式</w:t>
      </w:r>
    </w:p>
    <w:p w14:paraId="6F42393E">
      <w:pPr>
        <w:pStyle w:val="14"/>
        <w:spacing w:line="360" w:lineRule="auto"/>
        <w:jc w:val="center"/>
        <w:outlineLvl w:val="2"/>
        <w:rPr>
          <w:rFonts w:hint="default" w:ascii="宋体" w:hAnsi="宋体" w:eastAsia="宋体" w:cs="宋体"/>
          <w:sz w:val="24"/>
          <w:szCs w:val="24"/>
        </w:rPr>
      </w:pPr>
      <w:r>
        <w:rPr>
          <w:rFonts w:ascii="宋体" w:hAnsi="宋体" w:eastAsia="宋体" w:cs="宋体"/>
          <w:b/>
          <w:sz w:val="24"/>
          <w:szCs w:val="24"/>
        </w:rPr>
        <w:t>编制说明</w:t>
      </w:r>
    </w:p>
    <w:p w14:paraId="4416B91E">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1、除招标文件另有规定外，本章中：</w:t>
      </w:r>
    </w:p>
    <w:p w14:paraId="61ADC3B3">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1.1涉及投标人的“全称”：</w:t>
      </w:r>
    </w:p>
    <w:p w14:paraId="180C693C">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（1）不接受联合体投标的，指投标人的全称。</w:t>
      </w:r>
    </w:p>
    <w:p w14:paraId="6E2C2CF1">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（2）接受联合体投标且投标人为联合体的，指牵头方的全称并加注（联合体牵头方），即应表述为：“牵头方的全称（联合体牵头方）”。</w:t>
      </w:r>
    </w:p>
    <w:p w14:paraId="51B26D0C">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1.2涉及投标人“加盖单位公章”：</w:t>
      </w:r>
    </w:p>
    <w:p w14:paraId="5BAC140E">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（1）不接受联合体投标的，指加盖投标人的单位公章。</w:t>
      </w:r>
    </w:p>
    <w:p w14:paraId="65C65589">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（2）接受联合体投标且投标人为联合体的，指加盖联合体牵头方的单位公章。</w:t>
      </w:r>
    </w:p>
    <w:p w14:paraId="1994975A">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1.3涉及“投标人代表签字”：</w:t>
      </w:r>
    </w:p>
    <w:p w14:paraId="0B80EAE6">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（1）不接受联合体投标的，指由投标人的单位负责人或其授权的委托代理人签字，由委托代理人签字的，应提供“单位授权书”。</w:t>
      </w:r>
    </w:p>
    <w:p w14:paraId="3C3173B2">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（2）接受联合体投标且投标人为联合体的，指由联合体牵头方的单位负责人或其授权的委托代理人签字，由委托代理人签字的，应提供“单位授权书”。</w:t>
      </w:r>
    </w:p>
    <w:p w14:paraId="71C3AE01">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1.4“其他组织”指合伙企业、非企业专业服务机构、个体工商户、农村承包经营户等。</w:t>
      </w:r>
    </w:p>
    <w:p w14:paraId="7BD83905">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1.5“自然人”指具有完全民事行为能力、能够承担民事责任和义务的中国公民。</w:t>
      </w:r>
    </w:p>
    <w:p w14:paraId="70E9E3D8">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2、除招标文件另有规定外，本章中“投标人的资格及资信证明文件”：</w:t>
      </w:r>
    </w:p>
    <w:p w14:paraId="51F1DB55">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2.1投标人应按照招标文件第四章第1.3条第（2）款规定及本章规定进行编制，如有必要，可增加附页，附页作为资格及资信文件的组成部分。</w:t>
      </w:r>
    </w:p>
    <w:p w14:paraId="421EB8D7">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2.2接受联合体投标且投标人为联合体的，联合体中的各方均应按照本章第2.1条规定提交相应的全部资料。</w:t>
      </w:r>
    </w:p>
    <w:p w14:paraId="4B36D4C7">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3、投标人对电子投标文件的索引应编制页码。</w:t>
      </w:r>
    </w:p>
    <w:p w14:paraId="2EB6F4C5">
      <w:pPr>
        <w:pStyle w:val="14"/>
        <w:spacing w:line="360" w:lineRule="auto"/>
        <w:ind w:firstLine="480"/>
        <w:rPr>
          <w:rFonts w:hint="default" w:ascii="宋体" w:hAnsi="宋体" w:eastAsia="宋体" w:cs="宋体"/>
          <w:sz w:val="24"/>
          <w:szCs w:val="24"/>
        </w:rPr>
      </w:pPr>
      <w:r>
        <w:rPr>
          <w:rFonts w:ascii="宋体" w:hAnsi="宋体" w:eastAsia="宋体" w:cs="宋体"/>
          <w:sz w:val="24"/>
          <w:szCs w:val="24"/>
        </w:rPr>
        <w:t>4、本章提供格式仅供参考，投标人应根据自身实际情况制作电子投标文件。</w:t>
      </w:r>
    </w:p>
    <w:p w14:paraId="33C5B550">
      <w:pPr>
        <w:pStyle w:val="14"/>
        <w:spacing w:line="360" w:lineRule="auto"/>
        <w:rPr>
          <w:rFonts w:hint="default" w:ascii="宋体" w:hAnsi="宋体" w:eastAsia="宋体" w:cs="宋体"/>
          <w:sz w:val="24"/>
          <w:szCs w:val="24"/>
        </w:rPr>
      </w:pPr>
    </w:p>
    <w:p w14:paraId="0F4CE788">
      <w:pPr>
        <w:pStyle w:val="14"/>
        <w:spacing w:line="360" w:lineRule="auto"/>
        <w:rPr>
          <w:rFonts w:hint="default" w:ascii="宋体" w:hAnsi="宋体" w:eastAsia="宋体" w:cs="宋体"/>
          <w:sz w:val="24"/>
          <w:szCs w:val="24"/>
        </w:rPr>
      </w:pPr>
    </w:p>
    <w:p w14:paraId="479D63D9">
      <w:pPr>
        <w:pStyle w:val="14"/>
        <w:spacing w:line="360" w:lineRule="auto"/>
        <w:jc w:val="center"/>
        <w:rPr>
          <w:rFonts w:hint="eastAsia" w:ascii="宋体" w:hAnsi="宋体" w:eastAsia="宋体" w:cs="宋体"/>
          <w:sz w:val="36"/>
          <w:szCs w:val="36"/>
          <w:lang w:val="en-US" w:eastAsia="zh-CN"/>
        </w:rPr>
      </w:pPr>
    </w:p>
    <w:p w14:paraId="6524460B">
      <w:pPr>
        <w:pStyle w:val="14"/>
        <w:spacing w:line="360" w:lineRule="auto"/>
        <w:jc w:val="center"/>
        <w:rPr>
          <w:rFonts w:hint="eastAsia" w:ascii="宋体" w:hAnsi="宋体" w:eastAsia="宋体" w:cs="宋体"/>
          <w:sz w:val="36"/>
          <w:szCs w:val="36"/>
          <w:lang w:val="en-US" w:eastAsia="zh-CN"/>
        </w:rPr>
      </w:pPr>
    </w:p>
    <w:p w14:paraId="6FCB2ECC">
      <w:pPr>
        <w:pStyle w:val="14"/>
        <w:spacing w:line="360" w:lineRule="auto"/>
        <w:jc w:val="center"/>
        <w:rPr>
          <w:rFonts w:hint="eastAsia" w:ascii="宋体" w:hAnsi="宋体" w:eastAsia="宋体" w:cs="宋体"/>
          <w:sz w:val="36"/>
          <w:szCs w:val="36"/>
          <w:lang w:val="en-US" w:eastAsia="zh-CN"/>
        </w:rPr>
      </w:pPr>
    </w:p>
    <w:p w14:paraId="0A011B05">
      <w:pPr>
        <w:pStyle w:val="14"/>
        <w:spacing w:line="360" w:lineRule="auto"/>
        <w:jc w:val="center"/>
        <w:rPr>
          <w:rFonts w:hint="eastAsia" w:ascii="宋体" w:hAnsi="宋体" w:eastAsia="宋体" w:cs="宋体"/>
          <w:sz w:val="36"/>
          <w:szCs w:val="36"/>
          <w:lang w:val="en-US" w:eastAsia="zh-CN"/>
        </w:rPr>
      </w:pPr>
      <w:bookmarkStart w:id="25" w:name="_GoBack"/>
      <w:bookmarkEnd w:id="25"/>
    </w:p>
    <w:p w14:paraId="195F511B">
      <w:pPr>
        <w:pStyle w:val="14"/>
        <w:spacing w:line="360" w:lineRule="auto"/>
        <w:jc w:val="center"/>
        <w:rPr>
          <w:rFonts w:hint="eastAsia" w:ascii="宋体" w:hAnsi="宋体" w:eastAsia="宋体" w:cs="宋体"/>
          <w:sz w:val="36"/>
          <w:szCs w:val="36"/>
          <w:lang w:val="en-US" w:eastAsia="zh-CN"/>
        </w:rPr>
      </w:pPr>
    </w:p>
    <w:p w14:paraId="3124D9D2">
      <w:pPr>
        <w:pStyle w:val="14"/>
        <w:spacing w:line="360" w:lineRule="auto"/>
        <w:jc w:val="center"/>
        <w:rPr>
          <w:rFonts w:hint="eastAsia" w:ascii="宋体" w:hAnsi="宋体" w:eastAsia="宋体" w:cs="宋体"/>
          <w:sz w:val="36"/>
          <w:szCs w:val="36"/>
          <w:lang w:val="en-US" w:eastAsia="zh-CN"/>
        </w:rPr>
      </w:pPr>
    </w:p>
    <w:p w14:paraId="5B8C3800">
      <w:pPr>
        <w:pStyle w:val="14"/>
        <w:spacing w:line="360" w:lineRule="auto"/>
        <w:jc w:val="center"/>
        <w:rPr>
          <w:rFonts w:hint="default" w:ascii="宋体" w:hAnsi="宋体" w:eastAsia="宋体" w:cs="宋体"/>
          <w:sz w:val="36"/>
          <w:szCs w:val="36"/>
          <w:lang w:val="en-US" w:eastAsia="zh-CN"/>
        </w:rPr>
      </w:pPr>
      <w:r>
        <w:rPr>
          <w:rFonts w:hint="eastAsia" w:ascii="宋体" w:hAnsi="宋体" w:eastAsia="宋体" w:cs="宋体"/>
          <w:sz w:val="36"/>
          <w:szCs w:val="36"/>
          <w:lang w:val="en-US" w:eastAsia="zh-CN"/>
        </w:rPr>
        <w:t>格式由系统自动生成</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阿里妈妈东方大楷">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8784A">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C0087">
                          <w:pPr>
                            <w:pStyle w:val="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45C0087">
                    <w:pPr>
                      <w:pStyle w:val="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0MTQwMTcxOWEwMDI2YWVhYWYyN2E0YjJiYzk5MjgifQ=="/>
  </w:docVars>
  <w:rsids>
    <w:rsidRoot w:val="53B52B8D"/>
    <w:rsid w:val="00025C74"/>
    <w:rsid w:val="00043211"/>
    <w:rsid w:val="000437FD"/>
    <w:rsid w:val="000D45DB"/>
    <w:rsid w:val="00121F72"/>
    <w:rsid w:val="00154583"/>
    <w:rsid w:val="00157E53"/>
    <w:rsid w:val="00160100"/>
    <w:rsid w:val="00190F76"/>
    <w:rsid w:val="0025740B"/>
    <w:rsid w:val="002678BE"/>
    <w:rsid w:val="002A1199"/>
    <w:rsid w:val="002D108F"/>
    <w:rsid w:val="002D732C"/>
    <w:rsid w:val="00335E9E"/>
    <w:rsid w:val="00337349"/>
    <w:rsid w:val="003A7A91"/>
    <w:rsid w:val="003B472D"/>
    <w:rsid w:val="00416C0D"/>
    <w:rsid w:val="00466E7C"/>
    <w:rsid w:val="00472EB8"/>
    <w:rsid w:val="00476C18"/>
    <w:rsid w:val="004B0485"/>
    <w:rsid w:val="005C114B"/>
    <w:rsid w:val="00640F5A"/>
    <w:rsid w:val="006710A7"/>
    <w:rsid w:val="006D028C"/>
    <w:rsid w:val="00747118"/>
    <w:rsid w:val="00761587"/>
    <w:rsid w:val="00856971"/>
    <w:rsid w:val="008D3E78"/>
    <w:rsid w:val="00934F42"/>
    <w:rsid w:val="00936309"/>
    <w:rsid w:val="0094347D"/>
    <w:rsid w:val="00997114"/>
    <w:rsid w:val="009E48B8"/>
    <w:rsid w:val="00A03472"/>
    <w:rsid w:val="00A30891"/>
    <w:rsid w:val="00A70209"/>
    <w:rsid w:val="00A77D9F"/>
    <w:rsid w:val="00AA3A05"/>
    <w:rsid w:val="00AE2CA7"/>
    <w:rsid w:val="00B14912"/>
    <w:rsid w:val="00B32EFB"/>
    <w:rsid w:val="00B37279"/>
    <w:rsid w:val="00B55DCA"/>
    <w:rsid w:val="00B65F02"/>
    <w:rsid w:val="00BD24C0"/>
    <w:rsid w:val="00BF52BD"/>
    <w:rsid w:val="00C169F8"/>
    <w:rsid w:val="00C23866"/>
    <w:rsid w:val="00C36BCC"/>
    <w:rsid w:val="00CE667D"/>
    <w:rsid w:val="00CE7739"/>
    <w:rsid w:val="00CF1870"/>
    <w:rsid w:val="00D2052E"/>
    <w:rsid w:val="00D45B99"/>
    <w:rsid w:val="00D52BDD"/>
    <w:rsid w:val="00D8466D"/>
    <w:rsid w:val="00DB4751"/>
    <w:rsid w:val="00E6546C"/>
    <w:rsid w:val="00EB0B69"/>
    <w:rsid w:val="00EB7472"/>
    <w:rsid w:val="00ED0672"/>
    <w:rsid w:val="00F47420"/>
    <w:rsid w:val="00F827C2"/>
    <w:rsid w:val="00FC74AA"/>
    <w:rsid w:val="00FE461C"/>
    <w:rsid w:val="013533A9"/>
    <w:rsid w:val="01731CAB"/>
    <w:rsid w:val="01844B9A"/>
    <w:rsid w:val="01BF5575"/>
    <w:rsid w:val="01EF3190"/>
    <w:rsid w:val="06E635A4"/>
    <w:rsid w:val="07761A22"/>
    <w:rsid w:val="084163BB"/>
    <w:rsid w:val="08A2799E"/>
    <w:rsid w:val="08F5187C"/>
    <w:rsid w:val="0ADE1E31"/>
    <w:rsid w:val="0CA9176E"/>
    <w:rsid w:val="0CD914B5"/>
    <w:rsid w:val="0CF12CA2"/>
    <w:rsid w:val="0EB43CA3"/>
    <w:rsid w:val="0ED9579C"/>
    <w:rsid w:val="108A4FA0"/>
    <w:rsid w:val="109B7849"/>
    <w:rsid w:val="11B3311D"/>
    <w:rsid w:val="120544C6"/>
    <w:rsid w:val="127203E1"/>
    <w:rsid w:val="146401FE"/>
    <w:rsid w:val="154C3C68"/>
    <w:rsid w:val="16C3745D"/>
    <w:rsid w:val="17584696"/>
    <w:rsid w:val="177F50ED"/>
    <w:rsid w:val="182B52BA"/>
    <w:rsid w:val="18EF453A"/>
    <w:rsid w:val="19A9741F"/>
    <w:rsid w:val="1B84108E"/>
    <w:rsid w:val="1E0A5972"/>
    <w:rsid w:val="1E326C77"/>
    <w:rsid w:val="215C4736"/>
    <w:rsid w:val="24E8008F"/>
    <w:rsid w:val="25535E50"/>
    <w:rsid w:val="268D5FED"/>
    <w:rsid w:val="27603F58"/>
    <w:rsid w:val="289E3886"/>
    <w:rsid w:val="28EA6ACC"/>
    <w:rsid w:val="29C64C71"/>
    <w:rsid w:val="2A6428AE"/>
    <w:rsid w:val="2DB404AA"/>
    <w:rsid w:val="2DC25921"/>
    <w:rsid w:val="2EE23DA1"/>
    <w:rsid w:val="2F8530AA"/>
    <w:rsid w:val="2FB27C17"/>
    <w:rsid w:val="31413001"/>
    <w:rsid w:val="31774C75"/>
    <w:rsid w:val="328B4EF3"/>
    <w:rsid w:val="3316226B"/>
    <w:rsid w:val="34AE6BFF"/>
    <w:rsid w:val="35B00755"/>
    <w:rsid w:val="361E6E74"/>
    <w:rsid w:val="36AB6ECE"/>
    <w:rsid w:val="3720190B"/>
    <w:rsid w:val="37492C0F"/>
    <w:rsid w:val="38163439"/>
    <w:rsid w:val="384F0C8B"/>
    <w:rsid w:val="38E31684"/>
    <w:rsid w:val="39094D4C"/>
    <w:rsid w:val="3B53405D"/>
    <w:rsid w:val="3B783AC3"/>
    <w:rsid w:val="3BCD02B3"/>
    <w:rsid w:val="3C2974B3"/>
    <w:rsid w:val="3D673DEF"/>
    <w:rsid w:val="3DA70690"/>
    <w:rsid w:val="3E522CF1"/>
    <w:rsid w:val="3E810EE1"/>
    <w:rsid w:val="3F6031EC"/>
    <w:rsid w:val="4178424B"/>
    <w:rsid w:val="43601A0D"/>
    <w:rsid w:val="43642A19"/>
    <w:rsid w:val="44FF34A7"/>
    <w:rsid w:val="46875502"/>
    <w:rsid w:val="473E6D52"/>
    <w:rsid w:val="475F7803"/>
    <w:rsid w:val="480F3A01"/>
    <w:rsid w:val="49EF5898"/>
    <w:rsid w:val="4B9A5CD8"/>
    <w:rsid w:val="4C672C31"/>
    <w:rsid w:val="4CAC5CC3"/>
    <w:rsid w:val="4D135D42"/>
    <w:rsid w:val="4FE614EB"/>
    <w:rsid w:val="501A2F43"/>
    <w:rsid w:val="50D852D8"/>
    <w:rsid w:val="51A91D15"/>
    <w:rsid w:val="521F2A93"/>
    <w:rsid w:val="525F10E1"/>
    <w:rsid w:val="52811571"/>
    <w:rsid w:val="52E361B6"/>
    <w:rsid w:val="53B52B8D"/>
    <w:rsid w:val="55006BAB"/>
    <w:rsid w:val="550D3076"/>
    <w:rsid w:val="557B0928"/>
    <w:rsid w:val="5789732C"/>
    <w:rsid w:val="59C12681"/>
    <w:rsid w:val="5A24333C"/>
    <w:rsid w:val="5A7871E4"/>
    <w:rsid w:val="5B0942E0"/>
    <w:rsid w:val="5BB57FC4"/>
    <w:rsid w:val="5C225659"/>
    <w:rsid w:val="5CC606DB"/>
    <w:rsid w:val="5D041203"/>
    <w:rsid w:val="5D9500AD"/>
    <w:rsid w:val="5F1C6CD8"/>
    <w:rsid w:val="5F3A715E"/>
    <w:rsid w:val="5F893C41"/>
    <w:rsid w:val="5FDB7FB7"/>
    <w:rsid w:val="60D61108"/>
    <w:rsid w:val="622A170C"/>
    <w:rsid w:val="622F0AD0"/>
    <w:rsid w:val="62F45876"/>
    <w:rsid w:val="63E43B3C"/>
    <w:rsid w:val="647A1DAB"/>
    <w:rsid w:val="64966BE4"/>
    <w:rsid w:val="64C96A10"/>
    <w:rsid w:val="65532D27"/>
    <w:rsid w:val="660B715E"/>
    <w:rsid w:val="68246BFD"/>
    <w:rsid w:val="685400E7"/>
    <w:rsid w:val="68CD1043"/>
    <w:rsid w:val="6A521800"/>
    <w:rsid w:val="6B2667E8"/>
    <w:rsid w:val="6BBB1626"/>
    <w:rsid w:val="6BCB2872"/>
    <w:rsid w:val="6C0E1756"/>
    <w:rsid w:val="6DD54C21"/>
    <w:rsid w:val="6EBD10DA"/>
    <w:rsid w:val="6ED00F45"/>
    <w:rsid w:val="6EEA775A"/>
    <w:rsid w:val="6F5B58E3"/>
    <w:rsid w:val="6FAE6FB7"/>
    <w:rsid w:val="6FEC0000"/>
    <w:rsid w:val="6FF46EB5"/>
    <w:rsid w:val="70111815"/>
    <w:rsid w:val="713F57D9"/>
    <w:rsid w:val="72D74F98"/>
    <w:rsid w:val="736D60C1"/>
    <w:rsid w:val="73B52DFF"/>
    <w:rsid w:val="743501E6"/>
    <w:rsid w:val="74372BF7"/>
    <w:rsid w:val="74C96B62"/>
    <w:rsid w:val="76E16C86"/>
    <w:rsid w:val="77F79321"/>
    <w:rsid w:val="78232A2D"/>
    <w:rsid w:val="782F13D2"/>
    <w:rsid w:val="79B20979"/>
    <w:rsid w:val="79E104AA"/>
    <w:rsid w:val="7B3A3DF5"/>
    <w:rsid w:val="7B9D6653"/>
    <w:rsid w:val="7C8778FD"/>
    <w:rsid w:val="7CF9564E"/>
    <w:rsid w:val="7D9A0F6E"/>
    <w:rsid w:val="7DF32EA2"/>
    <w:rsid w:val="7F78540D"/>
    <w:rsid w:val="7FE203C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ody Text"/>
    <w:basedOn w:val="1"/>
    <w:next w:val="1"/>
    <w:unhideWhenUsed/>
    <w:qFormat/>
    <w:uiPriority w:val="0"/>
    <w:pPr>
      <w:spacing w:after="120"/>
    </w:pPr>
  </w:style>
  <w:style w:type="paragraph" w:styleId="5">
    <w:name w:val="Body Text Indent"/>
    <w:basedOn w:val="1"/>
    <w:semiHidden/>
    <w:unhideWhenUsed/>
    <w:qFormat/>
    <w:uiPriority w:val="99"/>
    <w:pPr>
      <w:spacing w:after="120"/>
      <w:ind w:left="420" w:leftChars="200"/>
    </w:pPr>
  </w:style>
  <w:style w:type="paragraph" w:styleId="6">
    <w:name w:val="Balloon Text"/>
    <w:basedOn w:val="1"/>
    <w:link w:val="15"/>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annotation subject"/>
    <w:basedOn w:val="3"/>
    <w:next w:val="3"/>
    <w:link w:val="18"/>
    <w:qFormat/>
    <w:uiPriority w:val="0"/>
    <w:rPr>
      <w:b/>
      <w:bCs/>
    </w:rPr>
  </w:style>
  <w:style w:type="paragraph" w:styleId="10">
    <w:name w:val="Body Text First Indent 2"/>
    <w:basedOn w:val="5"/>
    <w:link w:val="19"/>
    <w:unhideWhenUsed/>
    <w:qFormat/>
    <w:uiPriority w:val="99"/>
    <w:pPr>
      <w:widowControl/>
      <w:ind w:firstLine="420" w:firstLineChars="200"/>
      <w:jc w:val="left"/>
    </w:pPr>
    <w:rPr>
      <w:rFonts w:ascii="Times New Roman" w:hAnsi="Times New Roman" w:eastAsia="宋体" w:cs="Times New Roman"/>
      <w:szCs w:val="21"/>
    </w:rPr>
  </w:style>
  <w:style w:type="character" w:styleId="13">
    <w:name w:val="annotation reference"/>
    <w:basedOn w:val="12"/>
    <w:qFormat/>
    <w:uiPriority w:val="0"/>
    <w:rPr>
      <w:sz w:val="21"/>
      <w:szCs w:val="21"/>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character" w:customStyle="1" w:styleId="15">
    <w:name w:val="批注框文本 字符"/>
    <w:basedOn w:val="12"/>
    <w:link w:val="6"/>
    <w:qFormat/>
    <w:uiPriority w:val="0"/>
    <w:rPr>
      <w:kern w:val="2"/>
      <w:sz w:val="18"/>
      <w:szCs w:val="18"/>
    </w:rPr>
  </w:style>
  <w:style w:type="paragraph" w:styleId="16">
    <w:name w:val="List Paragraph"/>
    <w:basedOn w:val="1"/>
    <w:unhideWhenUsed/>
    <w:qFormat/>
    <w:uiPriority w:val="99"/>
    <w:pPr>
      <w:ind w:firstLine="420" w:firstLineChars="200"/>
    </w:pPr>
    <w:rPr>
      <w:rFonts w:ascii="Calibri" w:hAnsi="Calibri" w:eastAsia="宋体" w:cs="Times New Roman"/>
      <w:szCs w:val="24"/>
    </w:rPr>
  </w:style>
  <w:style w:type="character" w:customStyle="1" w:styleId="17">
    <w:name w:val="批注文字 字符"/>
    <w:basedOn w:val="12"/>
    <w:link w:val="3"/>
    <w:qFormat/>
    <w:uiPriority w:val="0"/>
    <w:rPr>
      <w:rFonts w:asciiTheme="minorHAnsi" w:hAnsiTheme="minorHAnsi" w:eastAsiaTheme="minorEastAsia" w:cstheme="minorBidi"/>
      <w:kern w:val="2"/>
      <w:sz w:val="21"/>
      <w:szCs w:val="22"/>
    </w:rPr>
  </w:style>
  <w:style w:type="character" w:customStyle="1" w:styleId="18">
    <w:name w:val="批注主题 字符"/>
    <w:basedOn w:val="17"/>
    <w:link w:val="9"/>
    <w:qFormat/>
    <w:uiPriority w:val="0"/>
    <w:rPr>
      <w:rFonts w:asciiTheme="minorHAnsi" w:hAnsiTheme="minorHAnsi" w:eastAsiaTheme="minorEastAsia" w:cstheme="minorBidi"/>
      <w:b/>
      <w:bCs/>
      <w:kern w:val="2"/>
      <w:sz w:val="21"/>
      <w:szCs w:val="22"/>
    </w:rPr>
  </w:style>
  <w:style w:type="character" w:customStyle="1" w:styleId="19">
    <w:name w:val="正文首行缩进 2 字符"/>
    <w:basedOn w:val="12"/>
    <w:link w:val="10"/>
    <w:qFormat/>
    <w:uiPriority w:val="99"/>
    <w:rPr>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08CD8-6E51-41C1-8441-1DF55B0512CB}">
  <ds:schemaRefs/>
</ds:datastoreItem>
</file>

<file path=docProps/app.xml><?xml version="1.0" encoding="utf-8"?>
<Properties xmlns="http://schemas.openxmlformats.org/officeDocument/2006/extended-properties" xmlns:vt="http://schemas.openxmlformats.org/officeDocument/2006/docPropsVTypes">
  <Template>Normal</Template>
  <Pages>137</Pages>
  <Words>2438</Words>
  <Characters>2489</Characters>
  <Lines>577</Lines>
  <Paragraphs>162</Paragraphs>
  <TotalTime>0</TotalTime>
  <ScaleCrop>false</ScaleCrop>
  <LinksUpToDate>false</LinksUpToDate>
  <CharactersWithSpaces>2494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2025-02-13T09:05:00Z</dcterms:created>
  <dc:creator>administrator</dc:creator>
  <cp:lastModifiedBy>admin</cp:lastModifiedBy>
  <cp:lastPrinted>2025-04-18T08:20:00Z</cp:lastPrinted>
  <dcterms:modified xsi:type="dcterms:W3CDTF">2025-04-18T09:25:56Z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6EDEE62E38D841B8A462DDC535B15BF7_13</vt:lpwstr>
  </property>
  <property fmtid="{D5CDD505-2E9C-101B-9397-08002B2CF9AE}" pid="4" name="KSOTemplateDocerSaveRecord">
    <vt:lpwstr>eyJoZGlkIjoiZjFkZDA2YWM5NGE1ZGZmNGU1NGE0MGVlODMyN2Q5NDIiLCJ1c2VySWQiOiIyMzM4NzgwMzIifQ==</vt:lpwstr>
  </property>
</Properties>
</file>